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right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проект постановления</w:t>
      </w:r>
    </w:p>
    <w:p>
      <w:pPr>
        <w:pStyle w:val="Normal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</w:r>
    </w:p>
    <w:p>
      <w:pPr>
        <w:pStyle w:val="Normal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</w:r>
    </w:p>
    <w:p>
      <w:pPr>
        <w:pStyle w:val="Normal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</w:r>
    </w:p>
    <w:p>
      <w:pPr>
        <w:pStyle w:val="Normal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</w:r>
    </w:p>
    <w:p>
      <w:pPr>
        <w:pStyle w:val="Normal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</w:r>
    </w:p>
    <w:p>
      <w:pPr>
        <w:pStyle w:val="Normal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</w:r>
    </w:p>
    <w:p>
      <w:pPr>
        <w:pStyle w:val="Normal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</w:r>
    </w:p>
    <w:p>
      <w:pPr>
        <w:pStyle w:val="Normal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</w:r>
    </w:p>
    <w:p>
      <w:pPr>
        <w:pStyle w:val="Normal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</w:r>
    </w:p>
    <w:p>
      <w:pPr>
        <w:pStyle w:val="Normal"/>
        <w:ind w:right="5102"/>
        <w:jc w:val="both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</w:r>
    </w:p>
    <w:p>
      <w:pPr>
        <w:pStyle w:val="Normal"/>
        <w:ind w:right="5102"/>
        <w:jc w:val="both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</w:r>
    </w:p>
    <w:p>
      <w:pPr>
        <w:pStyle w:val="Normal"/>
        <w:ind w:right="5102"/>
        <w:jc w:val="both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</w:r>
    </w:p>
    <w:p>
      <w:pPr>
        <w:pStyle w:val="Normal"/>
        <w:suppressLineNumbers/>
        <w:shd w:val="clear" w:color="auto" w:fill="FFFFFF"/>
        <w:ind w:left="142" w:right="5245"/>
        <w:jc w:val="both"/>
        <w:textAlignment w:val="baseline"/>
        <w:rPr>
          <w:sz w:val="28"/>
          <w:szCs w:val="28"/>
        </w:rPr>
      </w:pPr>
      <w:r>
        <w:rPr>
          <w:b/>
          <w:bCs/>
          <w:spacing w:val="1"/>
          <w:sz w:val="28"/>
          <w:szCs w:val="28"/>
        </w:rPr>
        <w:t>Об утверждении Порядка принятия решения о заключении соглашений о муниципально - частном партнерстве и концессионных соглашений на срок, превышающий срок действия утвержденных лимитов бюджетных обязательств</w:t>
      </w:r>
    </w:p>
    <w:p>
      <w:pPr>
        <w:pStyle w:val="Normal"/>
        <w:ind w:firstLine="709" w:left="142" w:right="5245"/>
        <w:jc w:val="both"/>
        <w:rPr>
          <w:rFonts w:eastAsia="Calibri"/>
          <w:b/>
          <w:sz w:val="28"/>
          <w:szCs w:val="28"/>
          <w:highlight w:val="none"/>
          <w:shd w:fill="auto" w:val="clear"/>
          <w:lang w:eastAsia="en-US"/>
        </w:rPr>
      </w:pPr>
      <w:r>
        <w:rPr>
          <w:rFonts w:eastAsia="Calibri"/>
          <w:b/>
          <w:sz w:val="28"/>
          <w:szCs w:val="28"/>
          <w:shd w:fill="auto" w:val="clear"/>
          <w:lang w:eastAsia="en-US"/>
        </w:rPr>
      </w:r>
    </w:p>
    <w:p>
      <w:pPr>
        <w:pStyle w:val="Normal"/>
        <w:ind w:firstLine="709" w:left="142" w:right="5245"/>
        <w:jc w:val="both"/>
        <w:rPr>
          <w:rFonts w:eastAsia="Calibri"/>
          <w:b/>
          <w:sz w:val="28"/>
          <w:szCs w:val="28"/>
          <w:highlight w:val="none"/>
          <w:shd w:fill="auto" w:val="clear"/>
          <w:lang w:eastAsia="en-US"/>
        </w:rPr>
      </w:pPr>
      <w:r>
        <w:rPr>
          <w:rFonts w:eastAsia="Calibri"/>
          <w:b/>
          <w:sz w:val="28"/>
          <w:szCs w:val="28"/>
          <w:shd w:fill="auto" w:val="clear"/>
          <w:lang w:eastAsia="en-US"/>
        </w:rPr>
      </w:r>
    </w:p>
    <w:p>
      <w:pPr>
        <w:pStyle w:val="Normal"/>
        <w:ind w:firstLine="709" w:left="142" w:right="5245"/>
        <w:jc w:val="both"/>
        <w:rPr>
          <w:rFonts w:eastAsia="Calibri"/>
          <w:b/>
          <w:sz w:val="28"/>
          <w:szCs w:val="28"/>
          <w:highlight w:val="none"/>
          <w:shd w:fill="auto" w:val="clear"/>
          <w:lang w:eastAsia="en-US"/>
        </w:rPr>
      </w:pPr>
      <w:r>
        <w:rPr>
          <w:rFonts w:eastAsia="Calibri"/>
          <w:b/>
          <w:sz w:val="28"/>
          <w:szCs w:val="28"/>
          <w:shd w:fill="auto" w:val="clear"/>
          <w:lang w:eastAsia="en-US"/>
        </w:rPr>
      </w:r>
    </w:p>
    <w:p>
      <w:pPr>
        <w:pStyle w:val="NoSpacing"/>
        <w:ind w:firstLine="708" w:left="142"/>
        <w:jc w:val="both"/>
        <w:rPr/>
      </w:pPr>
      <w:r>
        <w:rPr>
          <w:rFonts w:ascii="Times New Roman" w:hAnsi="Times New Roman"/>
          <w:sz w:val="28"/>
          <w:szCs w:val="28"/>
          <w:shd w:fill="auto" w:val="clear"/>
        </w:rPr>
        <w:t xml:space="preserve">В соответствии с </w:t>
      </w:r>
      <w:hyperlink r:id="rId2" w:tooltip="&quot;Бюджетный кодекс Российской Федерации&quot; от 31.07.1998 N 145-ФЗ (ред. от 28.12.2022) (с изм. и доп., вступ. в силу с 01.01.2023) {КонсультантПлюс}">
        <w:r>
          <w:rPr>
            <w:rStyle w:val="Style7"/>
            <w:rFonts w:ascii="Times New Roman" w:hAnsi="Times New Roman"/>
            <w:sz w:val="28"/>
            <w:szCs w:val="28"/>
            <w:shd w:fill="auto" w:val="clear"/>
          </w:rPr>
          <w:t>пунктами 6</w:t>
        </w:r>
      </w:hyperlink>
      <w:r>
        <w:rPr>
          <w:rFonts w:ascii="Times New Roman" w:hAnsi="Times New Roman"/>
          <w:sz w:val="28"/>
          <w:szCs w:val="28"/>
          <w:shd w:fill="auto" w:val="clear"/>
        </w:rPr>
        <w:t xml:space="preserve"> и </w:t>
      </w:r>
      <w:hyperlink r:id="rId3" w:tooltip="&quot;Бюджетный кодекс Российской Федерации&quot; от 31.07.1998 N 145-ФЗ (ред. от 28.12.2022) (с изм. и доп., вступ. в силу с 01.01.2023) {КонсультантПлюс}">
        <w:r>
          <w:rPr>
            <w:rStyle w:val="Style7"/>
            <w:rFonts w:ascii="Times New Roman" w:hAnsi="Times New Roman"/>
            <w:sz w:val="28"/>
            <w:szCs w:val="28"/>
            <w:shd w:fill="auto" w:val="clear"/>
          </w:rPr>
          <w:t>9 статьи 78</w:t>
        </w:r>
      </w:hyperlink>
      <w:r>
        <w:rPr>
          <w:rFonts w:ascii="Times New Roman" w:hAnsi="Times New Roman"/>
          <w:sz w:val="28"/>
          <w:szCs w:val="28"/>
          <w:shd w:fill="auto" w:val="clear"/>
        </w:rPr>
        <w:t xml:space="preserve"> Бюджетного кодекса Российской   Федерации,   Федеральными   законами  от  13  июля  2015  года  </w:t>
      </w:r>
      <w:hyperlink r:id="rId4" w:tooltip="Федеральный закон от 13.07.2015 N 224-ФЗ (ред. от 29.12.2022) &quot;О государственно-частном партнерстве, муниципально-частном партнерстве в Российской Федерации и внесении изменений в отдельные законодательные акты Российской Федерации&quot; {КонсультантПлюс}">
        <w:r>
          <w:rPr>
            <w:rStyle w:val="Style7"/>
            <w:rFonts w:ascii="Times New Roman" w:hAnsi="Times New Roman"/>
            <w:sz w:val="28"/>
            <w:szCs w:val="28"/>
            <w:shd w:fill="auto" w:val="clear"/>
          </w:rPr>
          <w:t>№ 224-ФЗ</w:t>
        </w:r>
      </w:hyperlink>
      <w:r>
        <w:rPr>
          <w:rFonts w:ascii="Times New Roman" w:hAnsi="Times New Roman"/>
          <w:sz w:val="28"/>
          <w:szCs w:val="28"/>
          <w:shd w:fill="auto" w:val="clear"/>
        </w:rPr>
        <w:t xml:space="preserve"> «О государственно-частном партнерстве, муниципально-частном партнерстве в Российской Федерации и внесении изменений в отдельные законодательные акты Российской Федерации», от 21 июля 2005 года </w:t>
      </w:r>
      <w:hyperlink r:id="rId5" w:tooltip="Федеральный закон от 21.07.2005 N 115-ФЗ (ред. от 29.12.2022) &quot;О концессионных соглашениях&quot; {КонсультантПлюс}">
        <w:r>
          <w:rPr>
            <w:rStyle w:val="Style7"/>
            <w:rFonts w:ascii="Times New Roman" w:hAnsi="Times New Roman"/>
            <w:sz w:val="28"/>
            <w:szCs w:val="28"/>
            <w:shd w:fill="auto" w:val="clear"/>
          </w:rPr>
          <w:t>№115-ФЗ</w:t>
        </w:r>
      </w:hyperlink>
      <w:r>
        <w:rPr>
          <w:rFonts w:ascii="Times New Roman" w:hAnsi="Times New Roman"/>
          <w:sz w:val="28"/>
          <w:szCs w:val="28"/>
          <w:shd w:fill="auto" w:val="clear"/>
        </w:rPr>
        <w:t xml:space="preserve"> «О  концессионных   соглашениях»  Администрация Красногвардейского  муниципального округа   </w:t>
      </w:r>
      <w:r>
        <w:rPr>
          <w:rFonts w:ascii="Times New Roman" w:hAnsi="Times New Roman"/>
          <w:b/>
          <w:sz w:val="28"/>
          <w:szCs w:val="28"/>
          <w:shd w:fill="auto" w:val="clear"/>
        </w:rPr>
        <w:t>п о с т а н о в л я е т:</w:t>
      </w:r>
    </w:p>
    <w:p>
      <w:pPr>
        <w:pStyle w:val="NoSpacing"/>
        <w:ind w:firstLine="708" w:left="142"/>
        <w:jc w:val="both"/>
        <w:rPr>
          <w:rFonts w:ascii="Times New Roman" w:hAnsi="Times New Roman"/>
          <w:sz w:val="28"/>
          <w:szCs w:val="28"/>
          <w:highlight w:val="none"/>
          <w:shd w:fill="auto" w:val="clear"/>
        </w:rPr>
      </w:pPr>
      <w:r>
        <w:rPr>
          <w:rFonts w:ascii="Times New Roman" w:hAnsi="Times New Roman"/>
          <w:sz w:val="28"/>
          <w:szCs w:val="28"/>
          <w:shd w:fill="auto" w:val="clear"/>
        </w:rPr>
        <w:t>1. Утвердить Порядок принятия решения о заключении соглашений о государственно-частном партнерстве и концессионных соглашений на срок, превышающий срок действия утвержденных лимитов бюджетных обязательств (прилагается).</w:t>
      </w:r>
    </w:p>
    <w:p>
      <w:pPr>
        <w:pStyle w:val="NoSpacing"/>
        <w:ind w:firstLine="708" w:left="142"/>
        <w:jc w:val="both"/>
        <w:rPr>
          <w:rFonts w:ascii="Times New Roman" w:hAnsi="Times New Roman"/>
          <w:sz w:val="28"/>
          <w:szCs w:val="28"/>
          <w:highlight w:val="none"/>
          <w:shd w:fill="auto" w:val="clear"/>
        </w:rPr>
      </w:pPr>
      <w:r>
        <w:rPr>
          <w:rFonts w:ascii="Times New Roman" w:hAnsi="Times New Roman"/>
          <w:sz w:val="28"/>
          <w:szCs w:val="28"/>
          <w:shd w:fill="auto" w:val="clear"/>
        </w:rPr>
        <w:t xml:space="preserve">2. </w:t>
      </w:r>
      <w:r>
        <w:rPr>
          <w:rFonts w:cs="Times New Roman" w:ascii="Times New Roman" w:hAnsi="Times New Roman"/>
          <w:sz w:val="28"/>
          <w:szCs w:val="28"/>
          <w:shd w:fill="auto" w:val="clear"/>
        </w:rPr>
        <w:t>Признать утратившим силу постановление администрации Красногвардейского района от 11 марта 2024</w:t>
      </w:r>
      <w:r>
        <w:rPr>
          <w:rFonts w:eastAsia="Times New Roman" w:cs="Times New Roman" w:ascii="Times New Roman" w:hAnsi="Times New Roman"/>
          <w:sz w:val="28"/>
          <w:szCs w:val="28"/>
          <w:shd w:fill="auto" w:val="clear"/>
        </w:rPr>
        <w:t xml:space="preserve"> года № 29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z w:val="28"/>
          <w:szCs w:val="28"/>
          <w:shd w:fill="auto" w:val="clear"/>
        </w:rPr>
        <w:t>«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pacing w:val="1"/>
          <w:sz w:val="28"/>
          <w:szCs w:val="28"/>
          <w:shd w:fill="auto" w:val="clear"/>
        </w:rPr>
        <w:t>Об утверждении Порядка принятия решения о заключении соглашений о муниципально - частном партнерстве и концессионных соглашений на срок, превышающий срок действия утвержденных лимитов бюджетных обязательств</w:t>
      </w:r>
      <w:r>
        <w:rPr>
          <w:rFonts w:cs="Times New Roman" w:ascii="Times New Roman" w:hAnsi="Times New Roman"/>
          <w:b w:val="false"/>
          <w:bCs w:val="false"/>
          <w:i w:val="false"/>
          <w:iCs w:val="false"/>
          <w:sz w:val="28"/>
          <w:szCs w:val="28"/>
          <w:shd w:fill="auto" w:val="clear"/>
        </w:rPr>
        <w:t>».</w:t>
      </w:r>
    </w:p>
    <w:p>
      <w:pPr>
        <w:pStyle w:val="Normal"/>
        <w:widowControl w:val="false"/>
        <w:ind w:firstLine="709" w:left="142"/>
        <w:jc w:val="both"/>
        <w:rPr>
          <w:sz w:val="28"/>
          <w:szCs w:val="28"/>
          <w:highlight w:val="none"/>
          <w:shd w:fill="auto" w:val="clear"/>
        </w:rPr>
      </w:pPr>
      <w:r>
        <w:rPr>
          <w:sz w:val="28"/>
          <w:szCs w:val="28"/>
          <w:shd w:fill="auto" w:val="clear"/>
        </w:rPr>
        <w:t xml:space="preserve">3. </w:t>
      </w:r>
      <w:r>
        <w:rPr>
          <w:bCs/>
          <w:sz w:val="28"/>
          <w:szCs w:val="28"/>
          <w:shd w:fill="auto" w:val="clear"/>
        </w:rPr>
        <w:t>Разместить настоящее постановление на официальном сайте органов местного самоуправления Красногвардейского муниципального округа в разделе «Муниципально-частное партнерство».</w:t>
      </w:r>
    </w:p>
    <w:p>
      <w:pPr>
        <w:pStyle w:val="Normal"/>
        <w:widowControl w:val="false"/>
        <w:ind w:firstLine="709" w:left="142"/>
        <w:jc w:val="both"/>
        <w:rPr>
          <w:sz w:val="28"/>
          <w:szCs w:val="28"/>
          <w:highlight w:val="none"/>
          <w:shd w:fill="auto" w:val="clear"/>
        </w:rPr>
      </w:pPr>
      <w:r>
        <w:rPr>
          <w:sz w:val="28"/>
          <w:szCs w:val="28"/>
          <w:shd w:fill="auto" w:val="clear"/>
        </w:rPr>
        <w:t xml:space="preserve">4. Контроль за исполнением настоящего постановления возложить на </w:t>
      </w:r>
      <w:r>
        <w:rPr>
          <w:rFonts w:cs="Times New Roman"/>
          <w:sz w:val="28"/>
          <w:szCs w:val="28"/>
          <w:shd w:fill="auto" w:val="clear"/>
        </w:rPr>
        <w:t>заместителя Главы Красногвардейского муниципального округа по АПК и экономическому развитию Администрации Красногвардейского муниципального округа Приходько В.Ю.</w:t>
      </w:r>
    </w:p>
    <w:p>
      <w:pPr>
        <w:pStyle w:val="Normal"/>
        <w:widowControl w:val="false"/>
        <w:ind w:firstLine="709" w:left="142"/>
        <w:jc w:val="both"/>
        <w:rPr>
          <w:rFonts w:ascii="Times New Roman" w:hAnsi="Times New Roman"/>
          <w:sz w:val="28"/>
          <w:szCs w:val="28"/>
          <w:highlight w:val="none"/>
          <w:shd w:fill="auto" w:val="clear"/>
        </w:rPr>
      </w:pPr>
      <w:r>
        <w:rPr>
          <w:sz w:val="28"/>
          <w:szCs w:val="28"/>
          <w:shd w:fill="auto" w:val="clear"/>
        </w:rPr>
      </w:r>
    </w:p>
    <w:p>
      <w:pPr>
        <w:pStyle w:val="NoSpacing"/>
        <w:ind w:left="142"/>
        <w:jc w:val="both"/>
        <w:rPr>
          <w:rFonts w:eastAsia="" w:eastAsiaTheme="minorEastAsia"/>
          <w:b/>
          <w:sz w:val="28"/>
          <w:szCs w:val="28"/>
          <w:highlight w:val="none"/>
          <w:shd w:fill="auto" w:val="clear"/>
        </w:rPr>
      </w:pPr>
      <w:r>
        <w:rPr>
          <w:rFonts w:eastAsia="" w:eastAsiaTheme="minorEastAsia"/>
          <w:b/>
          <w:sz w:val="28"/>
          <w:szCs w:val="28"/>
          <w:shd w:fill="auto" w:val="clear"/>
        </w:rPr>
      </w:r>
    </w:p>
    <w:p>
      <w:pPr>
        <w:pStyle w:val="Normal"/>
        <w:ind w:hanging="0" w:left="0"/>
        <w:jc w:val="both"/>
        <w:rPr>
          <w:sz w:val="28"/>
          <w:szCs w:val="28"/>
          <w:highlight w:val="none"/>
          <w:shd w:fill="auto" w:val="clear"/>
        </w:rPr>
      </w:pPr>
      <w:r>
        <w:rPr>
          <w:rFonts w:eastAsia="" w:eastAsiaTheme="minorEastAsia"/>
          <w:b/>
          <w:sz w:val="28"/>
          <w:szCs w:val="28"/>
          <w:shd w:fill="auto" w:val="clear"/>
        </w:rPr>
        <w:t xml:space="preserve"> </w:t>
      </w:r>
      <w:r>
        <w:rPr>
          <w:rFonts w:eastAsia="" w:cs="Times New Roman"/>
          <w:b/>
          <w:bCs/>
          <w:sz w:val="28"/>
          <w:szCs w:val="28"/>
          <w:shd w:fill="auto" w:val="clear"/>
        </w:rPr>
        <w:t>Временно исполняющий полномочия</w:t>
      </w:r>
    </w:p>
    <w:p>
      <w:pPr>
        <w:pStyle w:val="Normal"/>
        <w:spacing w:lineRule="auto" w:line="240" w:before="0" w:after="0"/>
        <w:rPr>
          <w:sz w:val="28"/>
          <w:szCs w:val="28"/>
          <w:highlight w:val="none"/>
          <w:shd w:fill="auto" w:val="clear"/>
        </w:rPr>
      </w:pPr>
      <w:r>
        <w:rPr>
          <w:rFonts w:cs="Times New Roman"/>
          <w:b/>
          <w:bCs/>
          <w:sz w:val="28"/>
          <w:szCs w:val="28"/>
          <w:shd w:fill="auto" w:val="clear"/>
        </w:rPr>
        <w:t xml:space="preserve">       </w:t>
      </w:r>
      <w:r>
        <w:rPr>
          <w:rFonts w:cs="Times New Roman"/>
          <w:b/>
          <w:bCs/>
          <w:sz w:val="28"/>
          <w:szCs w:val="28"/>
          <w:shd w:fill="auto" w:val="clear"/>
        </w:rPr>
        <w:t xml:space="preserve">Главы Красногвардейского </w:t>
      </w:r>
    </w:p>
    <w:p>
      <w:pPr>
        <w:pStyle w:val="Normal"/>
        <w:spacing w:lineRule="auto" w:line="240" w:before="0" w:after="0"/>
        <w:rPr>
          <w:sz w:val="28"/>
          <w:szCs w:val="28"/>
          <w:highlight w:val="none"/>
          <w:shd w:fill="auto" w:val="clear"/>
        </w:rPr>
      </w:pPr>
      <w:r>
        <w:rPr>
          <w:rFonts w:cs="Times New Roman"/>
          <w:b/>
          <w:bCs/>
          <w:sz w:val="28"/>
          <w:szCs w:val="28"/>
          <w:shd w:fill="auto" w:val="clear"/>
        </w:rPr>
        <w:t xml:space="preserve">           </w:t>
      </w:r>
      <w:r>
        <w:rPr>
          <w:rFonts w:cs="Times New Roman"/>
          <w:b/>
          <w:bCs/>
          <w:sz w:val="28"/>
          <w:szCs w:val="28"/>
          <w:shd w:fill="auto" w:val="clear"/>
        </w:rPr>
        <w:t>муниципального округа</w:t>
      </w:r>
    </w:p>
    <w:p>
      <w:pPr>
        <w:pStyle w:val="Normal"/>
        <w:spacing w:lineRule="auto" w:line="240" w:before="0" w:after="0"/>
        <w:rPr>
          <w:sz w:val="28"/>
          <w:szCs w:val="28"/>
          <w:highlight w:val="none"/>
          <w:shd w:fill="auto" w:val="clear"/>
        </w:rPr>
      </w:pPr>
      <w:r>
        <w:rPr>
          <w:rFonts w:cs="Times New Roman"/>
          <w:b/>
          <w:bCs/>
          <w:sz w:val="28"/>
          <w:szCs w:val="28"/>
          <w:shd w:fill="auto" w:val="clear"/>
        </w:rPr>
        <w:t xml:space="preserve">             </w:t>
      </w:r>
      <w:r>
        <w:rPr>
          <w:rFonts w:cs="Times New Roman"/>
          <w:b/>
          <w:bCs/>
          <w:sz w:val="28"/>
          <w:szCs w:val="28"/>
          <w:shd w:fill="auto" w:val="clear"/>
        </w:rPr>
        <w:t>Белгородской области                                                    Н.В. Таранова</w:t>
      </w:r>
    </w:p>
    <w:p>
      <w:pPr>
        <w:pStyle w:val="Normal"/>
        <w:ind w:left="142"/>
        <w:jc w:val="both"/>
        <w:rPr>
          <w:rFonts w:eastAsia="" w:eastAsiaTheme="minorEastAsia"/>
          <w:b/>
          <w:sz w:val="28"/>
          <w:szCs w:val="28"/>
          <w:highlight w:val="none"/>
          <w:shd w:fill="auto" w:val="clear"/>
        </w:rPr>
      </w:pPr>
      <w:r>
        <w:rPr>
          <w:rFonts w:eastAsia="" w:cs="Times New Roman" w:eastAsiaTheme="minorEastAsia"/>
          <w:b/>
          <w:bCs/>
          <w:sz w:val="28"/>
          <w:szCs w:val="28"/>
          <w:shd w:fill="auto" w:val="clear"/>
        </w:rPr>
        <w:tab/>
      </w:r>
    </w:p>
    <w:p>
      <w:pPr>
        <w:pStyle w:val="Normal"/>
        <w:numPr>
          <w:ilvl w:val="0"/>
          <w:numId w:val="0"/>
        </w:numPr>
        <w:ind w:hanging="0" w:left="0"/>
        <w:jc w:val="both"/>
        <w:outlineLvl w:val="1"/>
        <w:rPr>
          <w:b/>
          <w:sz w:val="28"/>
          <w:szCs w:val="28"/>
          <w:highlight w:val="none"/>
          <w:shd w:fill="auto" w:val="clear"/>
        </w:rPr>
      </w:pPr>
      <w:r>
        <w:rPr>
          <w:b/>
          <w:sz w:val="28"/>
          <w:szCs w:val="28"/>
          <w:shd w:fill="auto" w:val="clear"/>
        </w:rPr>
        <w:t xml:space="preserve">                                                                                                  </w:t>
      </w:r>
    </w:p>
    <w:p>
      <w:pPr>
        <w:pStyle w:val="Normal"/>
        <w:numPr>
          <w:ilvl w:val="0"/>
          <w:numId w:val="0"/>
        </w:numPr>
        <w:ind w:hanging="0" w:left="0"/>
        <w:jc w:val="both"/>
        <w:outlineLvl w:val="1"/>
        <w:rPr>
          <w:b/>
          <w:sz w:val="28"/>
          <w:szCs w:val="28"/>
          <w:highlight w:val="none"/>
          <w:shd w:fill="auto" w:val="clear"/>
        </w:rPr>
      </w:pPr>
      <w:r>
        <w:rPr>
          <w:b/>
          <w:sz w:val="28"/>
          <w:szCs w:val="28"/>
          <w:shd w:fill="auto" w:val="clear"/>
        </w:rPr>
      </w:r>
    </w:p>
    <w:p>
      <w:pPr>
        <w:pStyle w:val="Normal"/>
        <w:numPr>
          <w:ilvl w:val="0"/>
          <w:numId w:val="0"/>
        </w:numPr>
        <w:ind w:hanging="0" w:left="0"/>
        <w:jc w:val="both"/>
        <w:outlineLvl w:val="1"/>
        <w:rPr>
          <w:b/>
          <w:sz w:val="28"/>
          <w:szCs w:val="28"/>
          <w:highlight w:val="none"/>
          <w:shd w:fill="auto" w:val="clear"/>
        </w:rPr>
      </w:pPr>
      <w:r>
        <w:rPr>
          <w:b/>
          <w:sz w:val="28"/>
          <w:szCs w:val="28"/>
          <w:shd w:fill="auto" w:val="clear"/>
        </w:rPr>
      </w:r>
    </w:p>
    <w:p>
      <w:pPr>
        <w:pStyle w:val="Normal"/>
        <w:numPr>
          <w:ilvl w:val="0"/>
          <w:numId w:val="0"/>
        </w:numPr>
        <w:ind w:hanging="0" w:left="0"/>
        <w:jc w:val="both"/>
        <w:outlineLvl w:val="1"/>
        <w:rPr>
          <w:b/>
          <w:sz w:val="28"/>
          <w:szCs w:val="28"/>
          <w:highlight w:val="none"/>
          <w:shd w:fill="auto" w:val="clear"/>
        </w:rPr>
      </w:pPr>
      <w:r>
        <w:rPr>
          <w:b/>
          <w:sz w:val="28"/>
          <w:szCs w:val="28"/>
          <w:shd w:fill="auto" w:val="clear"/>
        </w:rPr>
      </w:r>
    </w:p>
    <w:p>
      <w:pPr>
        <w:pStyle w:val="Normal"/>
        <w:numPr>
          <w:ilvl w:val="0"/>
          <w:numId w:val="0"/>
        </w:numPr>
        <w:ind w:hanging="0" w:left="0"/>
        <w:jc w:val="both"/>
        <w:outlineLvl w:val="1"/>
        <w:rPr>
          <w:b/>
          <w:sz w:val="28"/>
          <w:szCs w:val="28"/>
          <w:highlight w:val="none"/>
          <w:shd w:fill="auto" w:val="clear"/>
        </w:rPr>
      </w:pPr>
      <w:r>
        <w:rPr>
          <w:b/>
          <w:sz w:val="28"/>
          <w:szCs w:val="28"/>
          <w:shd w:fill="auto" w:val="clear"/>
        </w:rPr>
      </w:r>
    </w:p>
    <w:p>
      <w:pPr>
        <w:pStyle w:val="Normal"/>
        <w:numPr>
          <w:ilvl w:val="0"/>
          <w:numId w:val="0"/>
        </w:numPr>
        <w:ind w:hanging="0" w:left="0"/>
        <w:jc w:val="both"/>
        <w:outlineLvl w:val="1"/>
        <w:rPr>
          <w:b/>
          <w:sz w:val="28"/>
          <w:szCs w:val="28"/>
          <w:highlight w:val="none"/>
          <w:shd w:fill="auto" w:val="clear"/>
        </w:rPr>
      </w:pPr>
      <w:r>
        <w:rPr>
          <w:b/>
          <w:sz w:val="28"/>
          <w:szCs w:val="28"/>
          <w:shd w:fill="auto" w:val="clear"/>
        </w:rPr>
      </w:r>
    </w:p>
    <w:p>
      <w:pPr>
        <w:pStyle w:val="Normal"/>
        <w:numPr>
          <w:ilvl w:val="0"/>
          <w:numId w:val="0"/>
        </w:numPr>
        <w:ind w:hanging="0" w:left="0"/>
        <w:jc w:val="both"/>
        <w:outlineLvl w:val="1"/>
        <w:rPr>
          <w:b/>
          <w:sz w:val="28"/>
          <w:szCs w:val="28"/>
          <w:highlight w:val="none"/>
          <w:shd w:fill="auto" w:val="clear"/>
        </w:rPr>
      </w:pPr>
      <w:r>
        <w:rPr>
          <w:b/>
          <w:sz w:val="28"/>
          <w:szCs w:val="28"/>
          <w:shd w:fill="auto" w:val="clear"/>
        </w:rPr>
      </w:r>
    </w:p>
    <w:p>
      <w:pPr>
        <w:pStyle w:val="Normal"/>
        <w:numPr>
          <w:ilvl w:val="0"/>
          <w:numId w:val="0"/>
        </w:numPr>
        <w:ind w:hanging="0" w:left="0"/>
        <w:jc w:val="both"/>
        <w:outlineLvl w:val="1"/>
        <w:rPr>
          <w:b/>
          <w:sz w:val="28"/>
          <w:szCs w:val="28"/>
          <w:highlight w:val="none"/>
          <w:shd w:fill="auto" w:val="clear"/>
        </w:rPr>
      </w:pPr>
      <w:r>
        <w:rPr>
          <w:b/>
          <w:sz w:val="28"/>
          <w:szCs w:val="28"/>
          <w:shd w:fill="auto" w:val="clear"/>
        </w:rPr>
      </w:r>
    </w:p>
    <w:p>
      <w:pPr>
        <w:pStyle w:val="Normal"/>
        <w:numPr>
          <w:ilvl w:val="0"/>
          <w:numId w:val="0"/>
        </w:numPr>
        <w:ind w:hanging="0" w:left="0"/>
        <w:jc w:val="both"/>
        <w:outlineLvl w:val="1"/>
        <w:rPr>
          <w:b/>
          <w:sz w:val="28"/>
          <w:szCs w:val="28"/>
          <w:highlight w:val="none"/>
          <w:shd w:fill="auto" w:val="clear"/>
        </w:rPr>
      </w:pPr>
      <w:r>
        <w:rPr>
          <w:b/>
          <w:sz w:val="28"/>
          <w:szCs w:val="28"/>
          <w:shd w:fill="auto" w:val="clear"/>
        </w:rPr>
      </w:r>
    </w:p>
    <w:p>
      <w:pPr>
        <w:pStyle w:val="Normal"/>
        <w:numPr>
          <w:ilvl w:val="0"/>
          <w:numId w:val="0"/>
        </w:numPr>
        <w:ind w:hanging="0" w:left="0"/>
        <w:jc w:val="both"/>
        <w:outlineLvl w:val="1"/>
        <w:rPr>
          <w:b/>
          <w:sz w:val="28"/>
          <w:szCs w:val="28"/>
          <w:highlight w:val="none"/>
          <w:shd w:fill="auto" w:val="clear"/>
        </w:rPr>
      </w:pPr>
      <w:r>
        <w:rPr>
          <w:b/>
          <w:sz w:val="28"/>
          <w:szCs w:val="28"/>
          <w:shd w:fill="auto" w:val="clear"/>
        </w:rPr>
      </w:r>
    </w:p>
    <w:p>
      <w:pPr>
        <w:pStyle w:val="Normal"/>
        <w:numPr>
          <w:ilvl w:val="0"/>
          <w:numId w:val="0"/>
        </w:numPr>
        <w:ind w:hanging="0" w:left="0"/>
        <w:jc w:val="both"/>
        <w:outlineLvl w:val="1"/>
        <w:rPr>
          <w:b/>
          <w:sz w:val="28"/>
          <w:szCs w:val="28"/>
          <w:highlight w:val="none"/>
          <w:shd w:fill="auto" w:val="clear"/>
        </w:rPr>
      </w:pPr>
      <w:r>
        <w:rPr>
          <w:b/>
          <w:sz w:val="28"/>
          <w:szCs w:val="28"/>
          <w:shd w:fill="auto" w:val="clear"/>
        </w:rPr>
      </w:r>
    </w:p>
    <w:p>
      <w:pPr>
        <w:pStyle w:val="Normal"/>
        <w:numPr>
          <w:ilvl w:val="0"/>
          <w:numId w:val="0"/>
        </w:numPr>
        <w:ind w:hanging="0" w:left="0"/>
        <w:jc w:val="both"/>
        <w:outlineLvl w:val="1"/>
        <w:rPr>
          <w:b/>
          <w:sz w:val="28"/>
          <w:szCs w:val="28"/>
          <w:highlight w:val="none"/>
          <w:shd w:fill="auto" w:val="clear"/>
        </w:rPr>
      </w:pPr>
      <w:r>
        <w:rPr>
          <w:b/>
          <w:sz w:val="28"/>
          <w:szCs w:val="28"/>
          <w:shd w:fill="auto" w:val="clear"/>
        </w:rPr>
      </w:r>
    </w:p>
    <w:p>
      <w:pPr>
        <w:pStyle w:val="Normal"/>
        <w:numPr>
          <w:ilvl w:val="0"/>
          <w:numId w:val="0"/>
        </w:numPr>
        <w:ind w:hanging="0" w:left="0"/>
        <w:jc w:val="both"/>
        <w:outlineLvl w:val="1"/>
        <w:rPr>
          <w:b/>
          <w:sz w:val="28"/>
          <w:szCs w:val="28"/>
          <w:highlight w:val="none"/>
          <w:shd w:fill="auto" w:val="clear"/>
        </w:rPr>
      </w:pPr>
      <w:r>
        <w:rPr>
          <w:b/>
          <w:sz w:val="28"/>
          <w:szCs w:val="28"/>
          <w:shd w:fill="auto" w:val="clear"/>
        </w:rPr>
      </w:r>
    </w:p>
    <w:p>
      <w:pPr>
        <w:pStyle w:val="Normal"/>
        <w:numPr>
          <w:ilvl w:val="0"/>
          <w:numId w:val="0"/>
        </w:numPr>
        <w:ind w:hanging="0" w:left="0"/>
        <w:jc w:val="both"/>
        <w:outlineLvl w:val="1"/>
        <w:rPr>
          <w:b/>
          <w:sz w:val="28"/>
          <w:szCs w:val="28"/>
          <w:highlight w:val="none"/>
          <w:shd w:fill="auto" w:val="clear"/>
        </w:rPr>
      </w:pPr>
      <w:r>
        <w:rPr>
          <w:b/>
          <w:sz w:val="28"/>
          <w:szCs w:val="28"/>
          <w:shd w:fill="auto" w:val="clear"/>
        </w:rPr>
      </w:r>
    </w:p>
    <w:p>
      <w:pPr>
        <w:pStyle w:val="Normal"/>
        <w:numPr>
          <w:ilvl w:val="0"/>
          <w:numId w:val="0"/>
        </w:numPr>
        <w:ind w:hanging="0" w:left="0"/>
        <w:jc w:val="both"/>
        <w:outlineLvl w:val="1"/>
        <w:rPr>
          <w:b/>
          <w:sz w:val="28"/>
          <w:szCs w:val="28"/>
          <w:highlight w:val="none"/>
          <w:shd w:fill="auto" w:val="clear"/>
        </w:rPr>
      </w:pPr>
      <w:r>
        <w:rPr>
          <w:b/>
          <w:sz w:val="28"/>
          <w:szCs w:val="28"/>
          <w:shd w:fill="auto" w:val="clear"/>
        </w:rPr>
      </w:r>
    </w:p>
    <w:p>
      <w:pPr>
        <w:pStyle w:val="Normal"/>
        <w:numPr>
          <w:ilvl w:val="0"/>
          <w:numId w:val="0"/>
        </w:numPr>
        <w:ind w:hanging="0" w:left="0"/>
        <w:jc w:val="both"/>
        <w:outlineLvl w:val="1"/>
        <w:rPr>
          <w:b/>
          <w:sz w:val="28"/>
          <w:szCs w:val="28"/>
          <w:highlight w:val="none"/>
          <w:shd w:fill="auto" w:val="clear"/>
        </w:rPr>
      </w:pPr>
      <w:r>
        <w:rPr>
          <w:b/>
          <w:sz w:val="28"/>
          <w:szCs w:val="28"/>
          <w:shd w:fill="auto" w:val="clear"/>
        </w:rPr>
      </w:r>
    </w:p>
    <w:p>
      <w:pPr>
        <w:pStyle w:val="Normal"/>
        <w:numPr>
          <w:ilvl w:val="0"/>
          <w:numId w:val="0"/>
        </w:numPr>
        <w:ind w:hanging="0" w:left="0"/>
        <w:jc w:val="both"/>
        <w:outlineLvl w:val="1"/>
        <w:rPr>
          <w:b/>
          <w:sz w:val="28"/>
          <w:szCs w:val="28"/>
          <w:highlight w:val="none"/>
          <w:shd w:fill="auto" w:val="clear"/>
        </w:rPr>
      </w:pPr>
      <w:r>
        <w:rPr>
          <w:b/>
          <w:sz w:val="28"/>
          <w:szCs w:val="28"/>
          <w:shd w:fill="auto" w:val="clear"/>
        </w:rPr>
      </w:r>
    </w:p>
    <w:p>
      <w:pPr>
        <w:pStyle w:val="Normal"/>
        <w:numPr>
          <w:ilvl w:val="0"/>
          <w:numId w:val="0"/>
        </w:numPr>
        <w:ind w:hanging="0" w:left="0"/>
        <w:jc w:val="both"/>
        <w:outlineLvl w:val="1"/>
        <w:rPr>
          <w:b/>
          <w:sz w:val="28"/>
          <w:szCs w:val="28"/>
          <w:highlight w:val="none"/>
          <w:shd w:fill="auto" w:val="clear"/>
        </w:rPr>
      </w:pPr>
      <w:r>
        <w:rPr>
          <w:b/>
          <w:sz w:val="28"/>
          <w:szCs w:val="28"/>
          <w:shd w:fill="auto" w:val="clear"/>
        </w:rPr>
      </w:r>
    </w:p>
    <w:p>
      <w:pPr>
        <w:pStyle w:val="Normal"/>
        <w:numPr>
          <w:ilvl w:val="0"/>
          <w:numId w:val="0"/>
        </w:numPr>
        <w:ind w:hanging="0" w:left="0"/>
        <w:jc w:val="both"/>
        <w:outlineLvl w:val="1"/>
        <w:rPr>
          <w:b/>
          <w:sz w:val="28"/>
          <w:szCs w:val="28"/>
          <w:highlight w:val="none"/>
          <w:shd w:fill="auto" w:val="clear"/>
        </w:rPr>
      </w:pPr>
      <w:r>
        <w:rPr>
          <w:b/>
          <w:sz w:val="28"/>
          <w:szCs w:val="28"/>
          <w:shd w:fill="auto" w:val="clear"/>
        </w:rPr>
      </w:r>
    </w:p>
    <w:p>
      <w:pPr>
        <w:pStyle w:val="Normal"/>
        <w:numPr>
          <w:ilvl w:val="0"/>
          <w:numId w:val="0"/>
        </w:numPr>
        <w:ind w:hanging="0" w:left="0"/>
        <w:jc w:val="both"/>
        <w:outlineLvl w:val="1"/>
        <w:rPr>
          <w:b/>
          <w:sz w:val="28"/>
          <w:szCs w:val="28"/>
          <w:highlight w:val="none"/>
          <w:shd w:fill="auto" w:val="clear"/>
        </w:rPr>
      </w:pPr>
      <w:r>
        <w:rPr>
          <w:b/>
          <w:sz w:val="28"/>
          <w:szCs w:val="28"/>
          <w:shd w:fill="auto" w:val="clear"/>
        </w:rPr>
      </w:r>
    </w:p>
    <w:p>
      <w:pPr>
        <w:pStyle w:val="Normal"/>
        <w:numPr>
          <w:ilvl w:val="0"/>
          <w:numId w:val="0"/>
        </w:numPr>
        <w:ind w:hanging="0" w:left="0"/>
        <w:jc w:val="both"/>
        <w:outlineLvl w:val="1"/>
        <w:rPr>
          <w:b/>
          <w:sz w:val="28"/>
          <w:szCs w:val="28"/>
          <w:highlight w:val="none"/>
          <w:shd w:fill="auto" w:val="clear"/>
        </w:rPr>
      </w:pPr>
      <w:r>
        <w:rPr>
          <w:b/>
          <w:sz w:val="28"/>
          <w:szCs w:val="28"/>
          <w:shd w:fill="auto" w:val="clear"/>
        </w:rPr>
      </w:r>
    </w:p>
    <w:p>
      <w:pPr>
        <w:pStyle w:val="Normal"/>
        <w:numPr>
          <w:ilvl w:val="0"/>
          <w:numId w:val="0"/>
        </w:numPr>
        <w:ind w:hanging="0" w:left="0"/>
        <w:jc w:val="both"/>
        <w:outlineLvl w:val="1"/>
        <w:rPr>
          <w:b/>
          <w:sz w:val="28"/>
          <w:szCs w:val="28"/>
          <w:highlight w:val="none"/>
          <w:shd w:fill="auto" w:val="clear"/>
        </w:rPr>
      </w:pPr>
      <w:r>
        <w:rPr>
          <w:b/>
          <w:sz w:val="28"/>
          <w:szCs w:val="28"/>
          <w:shd w:fill="auto" w:val="clear"/>
        </w:rPr>
      </w:r>
    </w:p>
    <w:p>
      <w:pPr>
        <w:pStyle w:val="Normal"/>
        <w:numPr>
          <w:ilvl w:val="0"/>
          <w:numId w:val="0"/>
        </w:numPr>
        <w:ind w:hanging="0" w:left="0"/>
        <w:jc w:val="both"/>
        <w:outlineLvl w:val="1"/>
        <w:rPr>
          <w:b/>
          <w:sz w:val="28"/>
          <w:szCs w:val="28"/>
          <w:highlight w:val="none"/>
          <w:shd w:fill="auto" w:val="clear"/>
        </w:rPr>
      </w:pPr>
      <w:r>
        <w:rPr>
          <w:b/>
          <w:sz w:val="28"/>
          <w:szCs w:val="28"/>
          <w:shd w:fill="auto" w:val="clear"/>
        </w:rPr>
      </w:r>
    </w:p>
    <w:p>
      <w:pPr>
        <w:pStyle w:val="Normal"/>
        <w:numPr>
          <w:ilvl w:val="0"/>
          <w:numId w:val="0"/>
        </w:numPr>
        <w:ind w:hanging="0" w:left="0"/>
        <w:jc w:val="both"/>
        <w:outlineLvl w:val="1"/>
        <w:rPr>
          <w:b/>
          <w:sz w:val="28"/>
          <w:szCs w:val="28"/>
          <w:highlight w:val="none"/>
          <w:shd w:fill="auto" w:val="clear"/>
        </w:rPr>
      </w:pPr>
      <w:r>
        <w:rPr>
          <w:b/>
          <w:sz w:val="28"/>
          <w:szCs w:val="28"/>
          <w:shd w:fill="auto" w:val="clear"/>
        </w:rPr>
      </w:r>
    </w:p>
    <w:p>
      <w:pPr>
        <w:pStyle w:val="Normal"/>
        <w:numPr>
          <w:ilvl w:val="0"/>
          <w:numId w:val="0"/>
        </w:numPr>
        <w:ind w:hanging="0" w:left="0"/>
        <w:jc w:val="both"/>
        <w:outlineLvl w:val="1"/>
        <w:rPr>
          <w:b/>
          <w:sz w:val="28"/>
          <w:szCs w:val="28"/>
          <w:highlight w:val="none"/>
          <w:shd w:fill="auto" w:val="clear"/>
        </w:rPr>
      </w:pPr>
      <w:r>
        <w:rPr>
          <w:b/>
          <w:sz w:val="28"/>
          <w:szCs w:val="28"/>
          <w:shd w:fill="auto" w:val="clear"/>
        </w:rPr>
      </w:r>
    </w:p>
    <w:p>
      <w:pPr>
        <w:pStyle w:val="Normal"/>
        <w:numPr>
          <w:ilvl w:val="0"/>
          <w:numId w:val="0"/>
        </w:numPr>
        <w:ind w:hanging="0" w:left="0"/>
        <w:jc w:val="both"/>
        <w:outlineLvl w:val="1"/>
        <w:rPr>
          <w:b/>
          <w:sz w:val="28"/>
          <w:szCs w:val="28"/>
          <w:highlight w:val="none"/>
          <w:shd w:fill="auto" w:val="clear"/>
        </w:rPr>
      </w:pPr>
      <w:r>
        <w:rPr>
          <w:b/>
          <w:sz w:val="28"/>
          <w:szCs w:val="28"/>
          <w:shd w:fill="auto" w:val="clear"/>
        </w:rPr>
      </w:r>
    </w:p>
    <w:p>
      <w:pPr>
        <w:pStyle w:val="Normal"/>
        <w:numPr>
          <w:ilvl w:val="0"/>
          <w:numId w:val="0"/>
        </w:numPr>
        <w:ind w:hanging="0" w:left="0"/>
        <w:jc w:val="both"/>
        <w:outlineLvl w:val="1"/>
        <w:rPr>
          <w:b/>
          <w:sz w:val="28"/>
          <w:szCs w:val="28"/>
          <w:highlight w:val="none"/>
          <w:shd w:fill="auto" w:val="clear"/>
        </w:rPr>
      </w:pPr>
      <w:r>
        <w:rPr>
          <w:b/>
          <w:sz w:val="28"/>
          <w:szCs w:val="28"/>
          <w:shd w:fill="auto" w:val="clear"/>
        </w:rPr>
      </w:r>
    </w:p>
    <w:p>
      <w:pPr>
        <w:pStyle w:val="Normal"/>
        <w:numPr>
          <w:ilvl w:val="0"/>
          <w:numId w:val="0"/>
        </w:numPr>
        <w:ind w:hanging="0" w:left="0"/>
        <w:jc w:val="both"/>
        <w:outlineLvl w:val="1"/>
        <w:rPr>
          <w:b/>
          <w:sz w:val="28"/>
          <w:szCs w:val="28"/>
          <w:highlight w:val="none"/>
          <w:shd w:fill="auto" w:val="clear"/>
        </w:rPr>
      </w:pPr>
      <w:r>
        <w:rPr>
          <w:b/>
          <w:sz w:val="28"/>
          <w:szCs w:val="28"/>
          <w:shd w:fill="auto" w:val="clear"/>
        </w:rPr>
      </w:r>
    </w:p>
    <w:p>
      <w:pPr>
        <w:pStyle w:val="Normal"/>
        <w:numPr>
          <w:ilvl w:val="0"/>
          <w:numId w:val="0"/>
        </w:numPr>
        <w:ind w:hanging="0" w:left="0"/>
        <w:jc w:val="both"/>
        <w:outlineLvl w:val="1"/>
        <w:rPr>
          <w:b/>
          <w:sz w:val="28"/>
          <w:szCs w:val="28"/>
          <w:highlight w:val="none"/>
          <w:shd w:fill="auto" w:val="clear"/>
        </w:rPr>
      </w:pPr>
      <w:r>
        <w:rPr>
          <w:b/>
          <w:sz w:val="28"/>
          <w:szCs w:val="28"/>
          <w:shd w:fill="auto" w:val="clear"/>
        </w:rPr>
      </w:r>
    </w:p>
    <w:p>
      <w:pPr>
        <w:pStyle w:val="Normal"/>
        <w:numPr>
          <w:ilvl w:val="0"/>
          <w:numId w:val="0"/>
        </w:numPr>
        <w:ind w:hanging="0" w:left="0"/>
        <w:jc w:val="both"/>
        <w:outlineLvl w:val="1"/>
        <w:rPr>
          <w:b/>
          <w:sz w:val="28"/>
          <w:szCs w:val="28"/>
          <w:highlight w:val="none"/>
          <w:shd w:fill="auto" w:val="clear"/>
        </w:rPr>
      </w:pPr>
      <w:r>
        <w:rPr>
          <w:b/>
          <w:sz w:val="28"/>
          <w:szCs w:val="28"/>
          <w:shd w:fill="auto" w:val="clear"/>
        </w:rPr>
      </w:r>
    </w:p>
    <w:p>
      <w:pPr>
        <w:pStyle w:val="Normal"/>
        <w:numPr>
          <w:ilvl w:val="0"/>
          <w:numId w:val="0"/>
        </w:numPr>
        <w:ind w:hanging="0" w:left="0"/>
        <w:jc w:val="both"/>
        <w:outlineLvl w:val="1"/>
        <w:rPr>
          <w:b/>
          <w:sz w:val="28"/>
          <w:szCs w:val="28"/>
          <w:highlight w:val="none"/>
          <w:shd w:fill="auto" w:val="clear"/>
        </w:rPr>
      </w:pPr>
      <w:r>
        <w:rPr>
          <w:b/>
          <w:sz w:val="28"/>
          <w:szCs w:val="28"/>
          <w:shd w:fill="auto" w:val="clear"/>
        </w:rPr>
      </w:r>
    </w:p>
    <w:p>
      <w:pPr>
        <w:pStyle w:val="Normal"/>
        <w:numPr>
          <w:ilvl w:val="0"/>
          <w:numId w:val="0"/>
        </w:numPr>
        <w:ind w:hanging="0" w:left="0"/>
        <w:jc w:val="both"/>
        <w:outlineLvl w:val="1"/>
        <w:rPr>
          <w:b/>
          <w:sz w:val="28"/>
          <w:szCs w:val="28"/>
          <w:highlight w:val="none"/>
          <w:shd w:fill="auto" w:val="clear"/>
        </w:rPr>
      </w:pPr>
      <w:r>
        <w:rPr>
          <w:b/>
          <w:sz w:val="28"/>
          <w:szCs w:val="28"/>
          <w:shd w:fill="auto" w:val="clear"/>
        </w:rPr>
      </w:r>
    </w:p>
    <w:tbl>
      <w:tblPr>
        <w:tblW w:w="10095" w:type="dxa"/>
        <w:jc w:val="left"/>
        <w:tblInd w:w="-6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09"/>
        <w:gridCol w:w="4485"/>
      </w:tblGrid>
      <w:tr>
        <w:trPr>
          <w:trHeight w:val="2525" w:hRule="atLeast"/>
        </w:trPr>
        <w:tc>
          <w:tcPr>
            <w:tcW w:w="5609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Times New Roman" w:hAnsi="Times New Roman" w:cs="Times New Roman"/>
                <w:sz w:val="28"/>
                <w:szCs w:val="28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shd w:fill="auto" w:val="clear"/>
              </w:rPr>
            </w:r>
          </w:p>
        </w:tc>
        <w:tc>
          <w:tcPr>
            <w:tcW w:w="4485" w:type="dxa"/>
            <w:tcBorders/>
          </w:tcPr>
          <w:p>
            <w:pPr>
              <w:pStyle w:val="NoSpacing"/>
              <w:suppressAutoHyphens w:val="true"/>
              <w:spacing w:before="0" w:after="0"/>
              <w:ind w:right="-108"/>
              <w:jc w:val="center"/>
              <w:rPr>
                <w:sz w:val="28"/>
                <w:szCs w:val="28"/>
              </w:rPr>
            </w:pPr>
            <w:r>
              <w:rPr>
                <w:rFonts w:eastAsia="Arial Unicode MS" w:cs="Times New Roman" w:ascii="Times New Roman" w:hAnsi="Times New Roman"/>
                <w:b/>
                <w:kern w:val="0"/>
                <w:sz w:val="28"/>
                <w:szCs w:val="28"/>
                <w:shd w:fill="auto" w:val="clear"/>
                <w:lang w:val="ru-RU" w:eastAsia="ru-RU" w:bidi="ru-RU"/>
              </w:rPr>
              <w:t>Приложение</w:t>
            </w:r>
          </w:p>
          <w:p>
            <w:pPr>
              <w:pStyle w:val="NoSpacing"/>
              <w:suppressAutoHyphens w:val="true"/>
              <w:spacing w:before="0" w:after="0"/>
              <w:ind w:right="-108"/>
              <w:jc w:val="center"/>
              <w:rPr>
                <w:rFonts w:ascii="Times New Roman" w:hAnsi="Times New Roman" w:eastAsia="Arial Unicode MS" w:cs="Times New Roman"/>
                <w:b/>
                <w:kern w:val="0"/>
                <w:sz w:val="28"/>
                <w:szCs w:val="28"/>
                <w:highlight w:val="none"/>
                <w:shd w:fill="auto" w:val="clear"/>
                <w:lang w:val="ru-RU" w:eastAsia="ru-RU" w:bidi="ru-RU"/>
              </w:rPr>
            </w:pPr>
            <w:r>
              <w:rPr>
                <w:rFonts w:eastAsia="Arial Unicode MS" w:cs="Times New Roman" w:ascii="Times New Roman" w:hAnsi="Times New Roman"/>
                <w:b/>
                <w:kern w:val="0"/>
                <w:sz w:val="28"/>
                <w:szCs w:val="28"/>
                <w:shd w:fill="auto" w:val="clear"/>
                <w:lang w:val="ru-RU" w:eastAsia="ru-RU" w:bidi="ru-RU"/>
              </w:rPr>
            </w:r>
          </w:p>
          <w:p>
            <w:pPr>
              <w:pStyle w:val="NoSpacing"/>
              <w:suppressAutoHyphens w:val="true"/>
              <w:spacing w:before="0" w:after="0"/>
              <w:ind w:right="-108"/>
              <w:jc w:val="center"/>
              <w:rPr>
                <w:sz w:val="28"/>
                <w:szCs w:val="28"/>
              </w:rPr>
            </w:pPr>
            <w:r>
              <w:rPr>
                <w:rFonts w:eastAsia="Arial Unicode MS" w:cs="Times New Roman" w:ascii="Times New Roman" w:hAnsi="Times New Roman"/>
                <w:b/>
                <w:kern w:val="0"/>
                <w:sz w:val="28"/>
                <w:szCs w:val="28"/>
                <w:shd w:fill="auto" w:val="clear"/>
                <w:lang w:val="ru-RU" w:eastAsia="ru-RU" w:bidi="ru-RU"/>
              </w:rPr>
              <w:t>УТВЕРЖДЕН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постановлением Администрации                                                                                                                                                                          Красногвардейского муниципального округа</w:t>
            </w:r>
          </w:p>
          <w:p>
            <w:pPr>
              <w:pStyle w:val="NoSpacing"/>
              <w:suppressAutoHyphens w:val="true"/>
              <w:spacing w:before="0" w:after="0"/>
              <w:ind w:right="-108"/>
              <w:jc w:val="center"/>
              <w:rPr>
                <w:rFonts w:ascii="Times New Roman" w:hAnsi="Times New Roman" w:eastAsia="Arial Unicode MS" w:cs="Arial Unicode MS"/>
                <w:kern w:val="0"/>
                <w:sz w:val="28"/>
                <w:szCs w:val="28"/>
                <w:highlight w:val="none"/>
                <w:shd w:fill="auto" w:val="clear"/>
                <w:lang w:val="ru-RU" w:eastAsia="ru-RU" w:bidi="ru-RU"/>
              </w:rPr>
            </w:pPr>
            <w:r>
              <w:rPr>
                <w:rFonts w:eastAsia="Arial Unicode MS" w:cs="Arial Unicode MS" w:ascii="Times New Roman" w:hAnsi="Times New Roman"/>
                <w:kern w:val="0"/>
                <w:sz w:val="28"/>
                <w:szCs w:val="28"/>
                <w:shd w:fill="auto" w:val="clear"/>
                <w:lang w:val="ru-RU" w:eastAsia="ru-RU" w:bidi="ru-RU"/>
              </w:rPr>
            </w:r>
          </w:p>
          <w:p>
            <w:pPr>
              <w:pStyle w:val="NoSpacing"/>
              <w:suppressAutoHyphens w:val="true"/>
              <w:spacing w:before="0" w:after="0"/>
              <w:ind w:right="-108"/>
              <w:jc w:val="center"/>
              <w:rPr>
                <w:sz w:val="28"/>
                <w:szCs w:val="28"/>
              </w:rPr>
            </w:pPr>
            <w:r>
              <w:rPr>
                <w:rFonts w:eastAsia="Arial Unicode MS" w:cs="Times New Roman" w:ascii="Times New Roman" w:hAnsi="Times New Roman"/>
                <w:b/>
                <w:sz w:val="28"/>
                <w:szCs w:val="28"/>
                <w:shd w:fill="auto" w:val="clear"/>
                <w:lang w:bidi="ru-RU"/>
              </w:rPr>
              <w:t>от « _____» ____________2026 года                                                                                                                                                №__________</w:t>
            </w:r>
          </w:p>
        </w:tc>
      </w:tr>
    </w:tbl>
    <w:p>
      <w:pPr>
        <w:pStyle w:val="Normal"/>
        <w:widowControl w:val="false"/>
        <w:ind w:firstLine="709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ind w:firstLine="709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ConsPlusNormal1"/>
        <w:ind w:firstLine="540"/>
        <w:jc w:val="center"/>
        <w:rPr>
          <w:sz w:val="28"/>
          <w:szCs w:val="28"/>
          <w:highlight w:val="none"/>
          <w:shd w:fill="auto" w:val="clear"/>
        </w:rPr>
      </w:pPr>
      <w:r>
        <w:rPr>
          <w:b/>
          <w:sz w:val="28"/>
          <w:szCs w:val="28"/>
          <w:shd w:fill="auto" w:val="clear"/>
        </w:rPr>
        <w:t>Порядок</w:t>
      </w:r>
    </w:p>
    <w:p>
      <w:pPr>
        <w:pStyle w:val="ConsPlusNormal1"/>
        <w:ind w:firstLine="540"/>
        <w:jc w:val="center"/>
        <w:rPr>
          <w:sz w:val="28"/>
          <w:szCs w:val="28"/>
          <w:highlight w:val="none"/>
          <w:shd w:fill="auto" w:val="clear"/>
        </w:rPr>
      </w:pPr>
      <w:r>
        <w:rPr>
          <w:b/>
          <w:sz w:val="28"/>
          <w:szCs w:val="28"/>
          <w:shd w:fill="auto" w:val="clear"/>
        </w:rPr>
        <w:t>принятия решения о заключении соглашений о муниципально-частном партнерстве и концессионных соглашений на срок, превышающий срок действия утвержденных лимитов бюджетных обязательств</w:t>
      </w:r>
      <w:r>
        <w:rPr>
          <w:sz w:val="28"/>
          <w:szCs w:val="28"/>
          <w:shd w:fill="auto" w:val="clear"/>
        </w:rPr>
        <w:tab/>
      </w:r>
    </w:p>
    <w:p>
      <w:pPr>
        <w:pStyle w:val="ConsPlusNormal1"/>
        <w:ind w:firstLine="540"/>
        <w:jc w:val="center"/>
        <w:rPr>
          <w:sz w:val="28"/>
          <w:szCs w:val="28"/>
          <w:highlight w:val="none"/>
          <w:shd w:fill="auto" w:val="clear"/>
        </w:rPr>
      </w:pPr>
      <w:r>
        <w:rPr>
          <w:sz w:val="28"/>
          <w:szCs w:val="28"/>
          <w:shd w:fill="auto" w:val="clear"/>
        </w:rPr>
      </w:r>
    </w:p>
    <w:p>
      <w:pPr>
        <w:pStyle w:val="ConsPlusNormal1"/>
        <w:ind w:firstLine="539" w:right="-142"/>
        <w:jc w:val="both"/>
        <w:rPr/>
      </w:pPr>
      <w:r>
        <w:rPr>
          <w:sz w:val="28"/>
          <w:szCs w:val="28"/>
          <w:shd w:fill="auto" w:val="clear"/>
        </w:rPr>
        <w:t xml:space="preserve">1. </w:t>
      </w:r>
      <w:r>
        <w:rPr>
          <w:bCs/>
          <w:sz w:val="28"/>
          <w:szCs w:val="28"/>
          <w:shd w:fill="auto" w:val="clear"/>
        </w:rPr>
        <w:t xml:space="preserve">Настоящий Порядок в соответствии с </w:t>
      </w:r>
      <w:hyperlink r:id="rId6" w:tooltip="&quot;Бюджетный кодекс Российской Федерации&quot; от 31.07.1998 N 145-ФЗ (ред. от 28.12.2022) (с изм. и доп., вступ. в силу с 01.01.2023) {КонсультантПлюс}">
        <w:r>
          <w:rPr>
            <w:rStyle w:val="Style7"/>
            <w:bCs/>
            <w:sz w:val="28"/>
            <w:szCs w:val="28"/>
            <w:shd w:fill="auto" w:val="clear"/>
          </w:rPr>
          <w:t>пунктами 6</w:t>
        </w:r>
      </w:hyperlink>
      <w:r>
        <w:rPr>
          <w:bCs/>
          <w:sz w:val="28"/>
          <w:szCs w:val="28"/>
          <w:shd w:fill="auto" w:val="clear"/>
        </w:rPr>
        <w:t xml:space="preserve"> и </w:t>
      </w:r>
      <w:hyperlink r:id="rId7" w:tooltip="&quot;Бюджетный кодекс Российской Федерации&quot; от 31.07.1998 N 145-ФЗ (ред. от 28.12.2022) (с изм. и доп., вступ. в силу с 01.01.2023) {КонсультантПлюс}">
        <w:r>
          <w:rPr>
            <w:rStyle w:val="Style7"/>
            <w:bCs/>
            <w:sz w:val="28"/>
            <w:szCs w:val="28"/>
            <w:shd w:fill="auto" w:val="clear"/>
          </w:rPr>
          <w:t>9 статьи 78</w:t>
        </w:r>
      </w:hyperlink>
      <w:r>
        <w:rPr>
          <w:bCs/>
          <w:sz w:val="28"/>
          <w:szCs w:val="28"/>
          <w:shd w:fill="auto" w:val="clear"/>
        </w:rPr>
        <w:t xml:space="preserve"> Бюджетного кодекса РФ и Федеральными законами от 13 июля 2015 года №</w:t>
      </w:r>
      <w:hyperlink r:id="rId8" w:tooltip="Федеральный закон от 13.07.2015 N 224-ФЗ (ред. от 29.12.2022) &quot;О государственно-частном партнерстве, муниципально-частном партнерстве в Российской Федерации и внесении изменений в отдельные законодательные акты Российской Федерации&quot; {КонсультантПлюс}">
        <w:r>
          <w:rPr>
            <w:rStyle w:val="Style7"/>
            <w:bCs/>
            <w:sz w:val="28"/>
            <w:szCs w:val="28"/>
            <w:shd w:fill="auto" w:val="clear"/>
          </w:rPr>
          <w:t>224-ФЗ</w:t>
        </w:r>
      </w:hyperlink>
      <w:r>
        <w:rPr>
          <w:bCs/>
          <w:sz w:val="28"/>
          <w:szCs w:val="28"/>
          <w:shd w:fill="auto" w:val="clear"/>
        </w:rPr>
        <w:t xml:space="preserve"> «О государственно-частном партнерстве, муниципально-частном партнерстве в Российской Федерации и внесении изменений в отдельные законодательные акты Российской Федерации», от 21 июля 2005 года </w:t>
      </w:r>
      <w:hyperlink r:id="rId9" w:tooltip="Федеральный закон от 21.07.2005 N 115-ФЗ (ред. от 29.12.2022) &quot;О концессионных соглашениях&quot; {КонсультантПлюс}">
        <w:r>
          <w:rPr>
            <w:rStyle w:val="Style7"/>
            <w:bCs/>
            <w:sz w:val="28"/>
            <w:szCs w:val="28"/>
            <w:shd w:fill="auto" w:val="clear"/>
          </w:rPr>
          <w:t>№115-ФЗ</w:t>
        </w:r>
      </w:hyperlink>
      <w:r>
        <w:rPr>
          <w:bCs/>
          <w:sz w:val="28"/>
          <w:szCs w:val="28"/>
          <w:shd w:fill="auto" w:val="clear"/>
        </w:rPr>
        <w:t xml:space="preserve"> «О концессионных соглашениях» определяет порядок принятия решений о заключении соглашений о государственно-частном партнерстве и концессионных соглашений на срок, превышающий срок действия утвержденных лимитов бюджетных обязательств.</w:t>
      </w:r>
    </w:p>
    <w:p>
      <w:pPr>
        <w:pStyle w:val="ConsPlusNormal1"/>
        <w:ind w:firstLine="539" w:right="-142"/>
        <w:jc w:val="both"/>
        <w:rPr/>
      </w:pPr>
      <w:r>
        <w:rPr>
          <w:sz w:val="28"/>
          <w:szCs w:val="28"/>
          <w:shd w:fill="auto" w:val="clear"/>
        </w:rPr>
        <w:t xml:space="preserve">2. </w:t>
      </w:r>
      <w:r>
        <w:rPr>
          <w:bCs/>
          <w:sz w:val="28"/>
          <w:szCs w:val="28"/>
          <w:shd w:fill="auto" w:val="clear"/>
        </w:rPr>
        <w:t>Соглашение о государственно-частном партнерстве, публичным партнером по которому выступает Администрация Красногвардейского муниципального округа, может заключаться на срок, превышающий срок действия утвержденных получателю средств бюджета муниципального округа лимитов</w:t>
      </w:r>
      <w:r>
        <w:rPr>
          <w:bCs/>
          <w:sz w:val="28"/>
          <w:szCs w:val="28"/>
        </w:rPr>
        <w:t xml:space="preserve"> бюджетных обязательств, в случае, если в решении о реализации проекта государственно-частного партнерства, принимаемом Администрацией муниципального округа в соответствии со </w:t>
      </w:r>
      <w:hyperlink r:id="rId10" w:tooltip="Федеральный закон от 13.07.2015 N 224-ФЗ (ред. от 29.12.2022) &quot;О государственно-частном партнерстве, муниципально-частном партнерстве в Российской Федерации и внесении изменений в отдельные законодательные акты Российской Федерации&quot; {КонсультантПлюс}">
        <w:r>
          <w:rPr>
            <w:rStyle w:val="Style7"/>
            <w:bCs/>
            <w:sz w:val="28"/>
            <w:szCs w:val="28"/>
          </w:rPr>
          <w:t>статьей 10</w:t>
        </w:r>
      </w:hyperlink>
      <w:r>
        <w:rPr>
          <w:bCs/>
          <w:sz w:val="28"/>
          <w:szCs w:val="28"/>
        </w:rPr>
        <w:t xml:space="preserve"> Федерального закона от 13 июля 2015 года № 224-ФЗ «О государственно-частном партнерстве, муниципально-частном партнерстве в Российской Федерации и внесении изменений в отдельные законодательные акты Российской Федерации» (далее - решение о реализации проекта государственно-частного партнерства), указан срок действия данного соглашения, превышающий срок действия утвержденных лимитов бюджетных обязательств.</w:t>
      </w:r>
    </w:p>
    <w:p>
      <w:pPr>
        <w:pStyle w:val="ConsPlusNormal1"/>
        <w:ind w:firstLine="539" w:right="-142"/>
        <w:jc w:val="both"/>
        <w:rPr/>
      </w:pPr>
      <w:r>
        <w:rPr>
          <w:sz w:val="28"/>
          <w:szCs w:val="28"/>
        </w:rPr>
        <w:t xml:space="preserve">3. </w:t>
      </w:r>
      <w:r>
        <w:rPr>
          <w:bCs/>
          <w:sz w:val="28"/>
          <w:szCs w:val="28"/>
        </w:rPr>
        <w:t xml:space="preserve">Концессионное соглашение, концедентом по которому выступает Администрация муниципального округа, может заключаться на срок, превышающий срок действия утвержденных получателю средств бюджета муниципального округа лимитов бюджетных обязательств, в случае, если в решении о заключении концессионного соглашения, принимаемом Администрацией муниципального округа в соответствии со </w:t>
      </w:r>
      <w:hyperlink r:id="rId11" w:tooltip="Федеральный закон от 21.07.2005 N 115-ФЗ (ред. от 29.12.2022) &quot;О концессионных соглашениях&quot; {КонсультантПлюс}">
        <w:r>
          <w:rPr>
            <w:rStyle w:val="Style7"/>
            <w:bCs/>
            <w:sz w:val="28"/>
            <w:szCs w:val="28"/>
          </w:rPr>
          <w:t>статьей 22</w:t>
        </w:r>
      </w:hyperlink>
      <w:r>
        <w:rPr>
          <w:bCs/>
          <w:sz w:val="28"/>
          <w:szCs w:val="28"/>
        </w:rPr>
        <w:t xml:space="preserve"> Федерального закона от 21 июля 2005 года №115-ФЗ «О концессионных соглашениях» (далее - решение о заключении концессионного соглашения), указан срок действия данного соглашения, превышающий срок действия утвержденных лимитов бюджетных обязательств.</w:t>
      </w:r>
    </w:p>
    <w:p>
      <w:pPr>
        <w:pStyle w:val="ConsPlusNormal1"/>
        <w:ind w:firstLine="539" w:righ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>
        <w:rPr>
          <w:bCs/>
          <w:sz w:val="28"/>
          <w:szCs w:val="28"/>
        </w:rPr>
        <w:t>Решение о реализации проекта государственно-частного партнерства и решение о заключении концессионного соглашения, предусмотренные пунктом 2 и 3 настоящего Порядка, принимаются в форме распоряжения Администрации муниципального округа.</w:t>
      </w:r>
    </w:p>
    <w:p>
      <w:pPr>
        <w:pStyle w:val="ConsPlusNormal1"/>
        <w:ind w:firstLine="539" w:right="-14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</w:r>
    </w:p>
    <w:p>
      <w:pPr>
        <w:pStyle w:val="ConsPlusNormal1"/>
        <w:ind w:firstLine="539" w:right="-14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</w:r>
    </w:p>
    <w:p>
      <w:pPr>
        <w:pStyle w:val="ConsPlusNormal1"/>
        <w:ind w:firstLine="539" w:right="-14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</w:r>
    </w:p>
    <w:p>
      <w:pPr>
        <w:pStyle w:val="ConsPlusNormal1"/>
        <w:ind w:firstLine="539" w:right="-14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</w:r>
    </w:p>
    <w:p>
      <w:pPr>
        <w:pStyle w:val="ConsPlusNormal1"/>
        <w:ind w:firstLine="539" w:right="-14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</w:r>
    </w:p>
    <w:p>
      <w:pPr>
        <w:pStyle w:val="ConsPlusNormal1"/>
        <w:ind w:firstLine="539" w:right="-14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</w:r>
    </w:p>
    <w:p>
      <w:pPr>
        <w:pStyle w:val="ConsPlusNormal1"/>
        <w:ind w:firstLine="539" w:right="-14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</w:r>
    </w:p>
    <w:p>
      <w:pPr>
        <w:pStyle w:val="ConsPlusNormal1"/>
        <w:ind w:firstLine="539" w:right="-14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</w:r>
    </w:p>
    <w:p>
      <w:pPr>
        <w:pStyle w:val="ConsPlusNormal1"/>
        <w:ind w:firstLine="539" w:right="-14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</w:r>
    </w:p>
    <w:p>
      <w:pPr>
        <w:pStyle w:val="ConsPlusNormal1"/>
        <w:ind w:firstLine="539" w:right="-14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</w:r>
    </w:p>
    <w:p>
      <w:pPr>
        <w:pStyle w:val="ConsPlusNormal1"/>
        <w:ind w:firstLine="539" w:right="-14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</w:r>
    </w:p>
    <w:p>
      <w:pPr>
        <w:pStyle w:val="ConsPlusNormal1"/>
        <w:ind w:firstLine="539" w:right="-14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</w:r>
    </w:p>
    <w:p>
      <w:pPr>
        <w:pStyle w:val="ConsPlusNormal1"/>
        <w:ind w:firstLine="539" w:right="-14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</w:r>
    </w:p>
    <w:p>
      <w:pPr>
        <w:pStyle w:val="ConsPlusNormal1"/>
        <w:ind w:firstLine="539" w:right="-14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</w:r>
    </w:p>
    <w:p>
      <w:pPr>
        <w:pStyle w:val="ConsPlusNormal1"/>
        <w:ind w:firstLine="539" w:right="-14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</w:r>
    </w:p>
    <w:p>
      <w:pPr>
        <w:pStyle w:val="ConsPlusNormal1"/>
        <w:ind w:firstLine="539" w:right="-14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</w:r>
    </w:p>
    <w:p>
      <w:pPr>
        <w:pStyle w:val="ConsPlusNormal1"/>
        <w:ind w:firstLine="539" w:right="-14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</w:r>
    </w:p>
    <w:p>
      <w:pPr>
        <w:pStyle w:val="ConsPlusNormal1"/>
        <w:ind w:firstLine="539" w:right="-14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</w:r>
    </w:p>
    <w:p>
      <w:pPr>
        <w:pStyle w:val="ConsPlusNormal1"/>
        <w:ind w:firstLine="539" w:right="-14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</w:r>
    </w:p>
    <w:p>
      <w:pPr>
        <w:pStyle w:val="ConsPlusNormal1"/>
        <w:ind w:firstLine="539" w:right="-14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</w:r>
    </w:p>
    <w:p>
      <w:pPr>
        <w:pStyle w:val="ConsPlusNormal1"/>
        <w:ind w:firstLine="539" w:right="-14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</w:r>
    </w:p>
    <w:p>
      <w:pPr>
        <w:pStyle w:val="ConsPlusNormal1"/>
        <w:ind w:firstLine="539" w:right="-14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</w:r>
    </w:p>
    <w:p>
      <w:pPr>
        <w:pStyle w:val="ConsPlusNormal1"/>
        <w:ind w:firstLine="539" w:right="-14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</w:r>
    </w:p>
    <w:p>
      <w:pPr>
        <w:pStyle w:val="ConsPlusNormal1"/>
        <w:ind w:firstLine="539" w:right="-14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</w:r>
    </w:p>
    <w:p>
      <w:pPr>
        <w:pStyle w:val="ConsPlusNormal1"/>
        <w:ind w:firstLine="539" w:right="-14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</w:r>
    </w:p>
    <w:p>
      <w:pPr>
        <w:pStyle w:val="ConsPlusNormal1"/>
        <w:ind w:firstLine="539" w:right="-142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</w:r>
    </w:p>
    <w:p>
      <w:pPr>
        <w:pStyle w:val="ConsPlusNormal1"/>
        <w:ind w:firstLine="539" w:right="-142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</w:r>
    </w:p>
    <w:p>
      <w:pPr>
        <w:pStyle w:val="ConsPlusNormal1"/>
        <w:ind w:firstLine="539" w:right="-142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</w:r>
    </w:p>
    <w:p>
      <w:pPr>
        <w:pStyle w:val="ConsPlusNormal1"/>
        <w:ind w:firstLine="539" w:right="-142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</w:r>
    </w:p>
    <w:p>
      <w:pPr>
        <w:pStyle w:val="ConsPlusNormal1"/>
        <w:ind w:firstLine="539" w:right="-142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</w:r>
    </w:p>
    <w:p>
      <w:pPr>
        <w:pStyle w:val="ConsPlusNormal1"/>
        <w:ind w:firstLine="539" w:right="-142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</w:r>
    </w:p>
    <w:p>
      <w:pPr>
        <w:pStyle w:val="ConsPlusNormal1"/>
        <w:ind w:firstLine="539" w:right="-142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</w:r>
    </w:p>
    <w:p>
      <w:pPr>
        <w:pStyle w:val="ConsPlusNormal1"/>
        <w:ind w:firstLine="539" w:right="-142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</w:r>
    </w:p>
    <w:p>
      <w:pPr>
        <w:pStyle w:val="ConsPlusNormal1"/>
        <w:ind w:firstLine="539" w:right="-142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</w:r>
    </w:p>
    <w:p>
      <w:pPr>
        <w:pStyle w:val="ConsPlusNormal1"/>
        <w:ind w:firstLine="539" w:right="-142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</w:r>
    </w:p>
    <w:p>
      <w:pPr>
        <w:pStyle w:val="ConsPlusNormal1"/>
        <w:ind w:firstLine="539" w:right="-142"/>
        <w:jc w:val="both"/>
        <w:rPr>
          <w:bCs/>
          <w:sz w:val="26"/>
          <w:szCs w:val="26"/>
        </w:rPr>
      </w:pPr>
      <w:r>
        <w:rPr/>
      </w:r>
    </w:p>
    <w:sectPr>
      <w:headerReference w:type="even" r:id="rId12"/>
      <w:headerReference w:type="default" r:id="rId13"/>
      <w:headerReference w:type="first" r:id="rId14"/>
      <w:type w:val="nextPage"/>
      <w:pgSz w:w="11906" w:h="16838"/>
      <w:pgMar w:left="1701" w:right="992" w:gutter="0" w:header="709" w:top="1135" w:footer="0" w:bottom="1134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Cambria">
    <w:charset w:val="01"/>
    <w:family w:val="roman"/>
    <w:pitch w:val="default"/>
  </w:font>
  <w:font w:name="Tahoma">
    <w:charset w:val="01"/>
    <w:family w:val="swiss"/>
    <w:pitch w:val="default"/>
  </w:font>
  <w:font w:name="PT Astra Serif">
    <w:charset w:val="01"/>
    <w:family w:val="roman"/>
    <w:pitch w:val="default"/>
  </w:font>
  <w:font w:name="Arial">
    <w:charset w:val="01"/>
    <w:family w:val="swiss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>
        <w:sz w:val="28"/>
        <w:szCs w:val="28"/>
        <w:highlight w:val="none"/>
        <w:shd w:fill="auto" w:val="clear"/>
      </w:rPr>
    </w:pPr>
    <w:r>
      <w:rPr>
        <w:sz w:val="28"/>
        <w:szCs w:val="28"/>
        <w:shd w:fill="auto" w:val="clear"/>
      </w:rPr>
      <w:fldChar w:fldCharType="begin"/>
    </w:r>
    <w:r>
      <w:rPr>
        <w:sz w:val="28"/>
        <w:shd w:fill="auto" w:val="clear"/>
        <w:szCs w:val="28"/>
      </w:rPr>
      <w:instrText xml:space="preserve"> PAGE </w:instrText>
    </w:r>
    <w:r>
      <w:rPr>
        <w:sz w:val="28"/>
        <w:shd w:fill="auto" w:val="clear"/>
        <w:szCs w:val="28"/>
      </w:rPr>
      <w:fldChar w:fldCharType="separate"/>
    </w:r>
    <w:r>
      <w:rPr>
        <w:sz w:val="28"/>
        <w:shd w:fill="auto" w:val="clear"/>
        <w:szCs w:val="28"/>
      </w:rPr>
      <w:t>2</w:t>
    </w:r>
    <w:r>
      <w:rPr>
        <w:sz w:val="28"/>
        <w:shd w:fill="auto" w:val="clear"/>
        <w:szCs w:val="28"/>
      </w:rPr>
      <w:fldChar w:fldCharType="end"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>
        <w:highlight w:val="none"/>
        <w:shd w:fill="auto" w:val="clear"/>
      </w:rPr>
    </w:pPr>
    <w:r>
      <w:rPr>
        <w:shd w:fill="auto" w:val="clear"/>
      </w:rPr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uiPriority="0" w:semiHidden="1" w:unhideWhenUsed="1"/>
    <w:lsdException w:name="endnote text" w:uiPriority="0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uiPriority="0" w:semiHidden="1" w:unhideWhenUsed="1" w:qFormat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787f4d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Heading1">
    <w:name w:val="heading 1"/>
    <w:basedOn w:val="Normal"/>
    <w:next w:val="Normal"/>
    <w:link w:val="1"/>
    <w:uiPriority w:val="9"/>
    <w:qFormat/>
    <w:rsid w:val="00245f76"/>
    <w:pPr>
      <w:keepNext w:val="true"/>
      <w:keepLines/>
      <w:spacing w:before="480" w:after="0"/>
      <w:outlineLvl w:val="0"/>
    </w:pPr>
    <w:rPr>
      <w:rFonts w:ascii="Cambria" w:hAnsi="Cambria" w:eastAsia="" w:cs=""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type="paragraph" w:styleId="Heading2">
    <w:name w:val="heading 2"/>
    <w:basedOn w:val="Normal"/>
    <w:link w:val="2"/>
    <w:uiPriority w:val="9"/>
    <w:qFormat/>
    <w:rsid w:val="004a46f8"/>
    <w:pPr>
      <w:spacing w:beforeAutospacing="1" w:afterAutospacing="1"/>
      <w:outlineLvl w:val="1"/>
    </w:pPr>
    <w:rPr>
      <w:b/>
      <w:bCs/>
      <w:sz w:val="36"/>
      <w:szCs w:val="36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2" w:customStyle="1">
    <w:name w:val="Заголовок 2 Знак"/>
    <w:basedOn w:val="DefaultParagraphFont"/>
    <w:uiPriority w:val="9"/>
    <w:qFormat/>
    <w:rsid w:val="004a46f8"/>
    <w:rPr>
      <w:rFonts w:ascii="Times New Roman" w:hAnsi="Times New Roman" w:eastAsia="Times New Roman" w:cs="Times New Roman"/>
      <w:b/>
      <w:bCs/>
      <w:sz w:val="36"/>
      <w:szCs w:val="36"/>
      <w:lang w:eastAsia="ru-RU"/>
    </w:rPr>
  </w:style>
  <w:style w:type="character" w:styleId="wmi-callto" w:customStyle="1">
    <w:name w:val="wmi-callto"/>
    <w:basedOn w:val="DefaultParagraphFont"/>
    <w:qFormat/>
    <w:rsid w:val="00c85a3f"/>
    <w:rPr/>
  </w:style>
  <w:style w:type="character" w:styleId="Style12" w:customStyle="1">
    <w:name w:val="Верхний колонтитул Знак"/>
    <w:basedOn w:val="DefaultParagraphFont"/>
    <w:uiPriority w:val="99"/>
    <w:qFormat/>
    <w:rsid w:val="00a131ec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13" w:customStyle="1">
    <w:name w:val="Нижний колонтитул Знак"/>
    <w:basedOn w:val="DefaultParagraphFont"/>
    <w:uiPriority w:val="99"/>
    <w:qFormat/>
    <w:rsid w:val="00a131ec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referenceable" w:customStyle="1">
    <w:name w:val="referenceable"/>
    <w:basedOn w:val="DefaultParagraphFont"/>
    <w:qFormat/>
    <w:rsid w:val="004a46f8"/>
    <w:rPr/>
  </w:style>
  <w:style w:type="character" w:styleId="Hyperlink">
    <w:name w:val="Hyperlink"/>
    <w:basedOn w:val="DefaultParagraphFont"/>
    <w:uiPriority w:val="99"/>
    <w:unhideWhenUsed/>
    <w:rsid w:val="00b230bc"/>
    <w:rPr>
      <w:color w:themeColor="hyperlink" w:val="0000FF"/>
      <w:u w:val="single"/>
    </w:rPr>
  </w:style>
  <w:style w:type="character" w:styleId="ConsPlusNormal" w:customStyle="1">
    <w:name w:val="ConsPlusNormal Знак"/>
    <w:link w:val="ConsPlusNormal1"/>
    <w:qFormat/>
    <w:locked/>
    <w:rsid w:val="000a038d"/>
    <w:rPr>
      <w:rFonts w:ascii="Times New Roman" w:hAnsi="Times New Roman" w:eastAsia="Times New Roman" w:cs="Times New Roman"/>
      <w:sz w:val="24"/>
      <w:szCs w:val="20"/>
      <w:lang w:eastAsia="ru-RU"/>
    </w:rPr>
  </w:style>
  <w:style w:type="character" w:styleId="10pt0pt" w:customStyle="1">
    <w:name w:val="Основной текст + 10 pt;Интервал 0 pt"/>
    <w:basedOn w:val="DefaultParagraphFont"/>
    <w:qFormat/>
    <w:rsid w:val="000a038d"/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1"/>
      <w:w w:val="100"/>
      <w:sz w:val="20"/>
      <w:szCs w:val="20"/>
      <w:u w:val="none"/>
      <w:shd w:fill="FFFFFF" w:val="clear"/>
      <w:lang w:val="ru-RU"/>
    </w:rPr>
  </w:style>
  <w:style w:type="character" w:styleId="Style14" w:customStyle="1">
    <w:name w:val="Текст концевой сноски Знак"/>
    <w:basedOn w:val="DefaultParagraphFont"/>
    <w:qFormat/>
    <w:rsid w:val="00f877ef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15" w:customStyle="1">
    <w:name w:val="Текст сноски Знак"/>
    <w:basedOn w:val="DefaultParagraphFont"/>
    <w:uiPriority w:val="99"/>
    <w:semiHidden/>
    <w:qFormat/>
    <w:rsid w:val="00f877ef"/>
    <w:rPr>
      <w:rFonts w:ascii="Calibri" w:hAnsi="Calibri" w:eastAsia="Calibri" w:cs="Times New Roman"/>
      <w:sz w:val="20"/>
      <w:szCs w:val="20"/>
    </w:rPr>
  </w:style>
  <w:style w:type="character" w:styleId="Style16" w:customStyle="1">
    <w:name w:val="Текст выноски Знак"/>
    <w:basedOn w:val="DefaultParagraphFont"/>
    <w:link w:val="BalloonText"/>
    <w:uiPriority w:val="99"/>
    <w:semiHidden/>
    <w:qFormat/>
    <w:rsid w:val="00f877ef"/>
    <w:rPr>
      <w:rFonts w:ascii="Tahoma" w:hAnsi="Tahoma" w:eastAsia="Calibri" w:cs="Tahoma"/>
      <w:sz w:val="16"/>
      <w:szCs w:val="16"/>
    </w:rPr>
  </w:style>
  <w:style w:type="character" w:styleId="Style17" w:customStyle="1">
    <w:name w:val="Основной текст_"/>
    <w:link w:val="21"/>
    <w:qFormat/>
    <w:rsid w:val="00c72912"/>
    <w:rPr>
      <w:rFonts w:ascii="Times New Roman" w:hAnsi="Times New Roman" w:eastAsia="Times New Roman"/>
      <w:sz w:val="26"/>
      <w:szCs w:val="26"/>
      <w:shd w:fill="FFFFFF" w:val="clear"/>
    </w:rPr>
  </w:style>
  <w:style w:type="character" w:styleId="Style18" w:customStyle="1">
    <w:name w:val="Без интервала Знак"/>
    <w:link w:val="NoSpacing"/>
    <w:qFormat/>
    <w:locked/>
    <w:rsid w:val="004d6456"/>
    <w:rPr>
      <w:rFonts w:ascii="Calibri" w:hAnsi="Calibri" w:eastAsia="Calibri" w:cs="Times New Roman"/>
    </w:rPr>
  </w:style>
  <w:style w:type="character" w:styleId="Style19" w:customStyle="1">
    <w:name w:val="Заголовок Знак"/>
    <w:basedOn w:val="DefaultParagraphFont"/>
    <w:qFormat/>
    <w:rsid w:val="001346bc"/>
    <w:rPr>
      <w:rFonts w:ascii="Times New Roman" w:hAnsi="Times New Roman" w:eastAsia="Times New Roman" w:cs="Times New Roman"/>
      <w:b/>
      <w:bCs/>
      <w:sz w:val="28"/>
      <w:szCs w:val="24"/>
      <w:lang w:eastAsia="ru-RU"/>
    </w:rPr>
  </w:style>
  <w:style w:type="character" w:styleId="markedcontent" w:customStyle="1">
    <w:name w:val="markedcontent"/>
    <w:basedOn w:val="DefaultParagraphFont"/>
    <w:qFormat/>
    <w:rsid w:val="00a22e5d"/>
    <w:rPr/>
  </w:style>
  <w:style w:type="character" w:styleId="1" w:customStyle="1">
    <w:name w:val="Заголовок 1 Знак"/>
    <w:basedOn w:val="DefaultParagraphFont"/>
    <w:uiPriority w:val="9"/>
    <w:qFormat/>
    <w:rsid w:val="00245f76"/>
    <w:rPr>
      <w:rFonts w:ascii="Cambria" w:hAnsi="Cambria" w:eastAsia="" w:cs="" w:asciiTheme="majorHAnsi" w:cstheme="majorBidi" w:eastAsiaTheme="majorEastAsia" w:hAnsiTheme="majorHAnsi"/>
      <w:b/>
      <w:bCs/>
      <w:color w:themeColor="accent1" w:themeShade="bf" w:val="365F91"/>
      <w:sz w:val="28"/>
      <w:szCs w:val="28"/>
      <w:lang w:eastAsia="ru-RU"/>
    </w:rPr>
  </w:style>
  <w:style w:type="character" w:styleId="FollowedHyperlink">
    <w:name w:val="FollowedHyperlink"/>
    <w:basedOn w:val="DefaultParagraphFont"/>
    <w:uiPriority w:val="99"/>
    <w:semiHidden/>
    <w:unhideWhenUsed/>
    <w:rsid w:val="001d6602"/>
    <w:rPr>
      <w:color w:themeColor="followedHyperlink" w:val="800080"/>
      <w:u w:val="single"/>
    </w:rPr>
  </w:style>
  <w:style w:type="character" w:styleId="3" w:customStyle="1">
    <w:name w:val="Основной текст с отступом 3 Знак"/>
    <w:basedOn w:val="DefaultParagraphFont"/>
    <w:link w:val="BodyTextIndent3"/>
    <w:qFormat/>
    <w:rsid w:val="00245e72"/>
    <w:rPr>
      <w:rFonts w:ascii="Times New Roman" w:hAnsi="Times New Roman" w:eastAsia="Times New Roman" w:cs="Times New Roman"/>
      <w:sz w:val="28"/>
      <w:szCs w:val="24"/>
      <w:lang w:eastAsia="ru-RU"/>
    </w:rPr>
  </w:style>
  <w:style w:type="paragraph" w:styleId="Style20">
    <w:name w:val="Заголовок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ascii="PT Astra Serif" w:hAnsi="PT Astra Serif"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user">
    <w:name w:val="Заголовок (user)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user1">
    <w:name w:val="Указатель (user)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user2">
    <w:name w:val="Колонтитулы (user)"/>
    <w:basedOn w:val="Normal"/>
    <w:qFormat/>
    <w:pPr/>
    <w:rPr/>
  </w:style>
  <w:style w:type="paragraph" w:styleId="Style22">
    <w:name w:val="Колонтитулы"/>
    <w:basedOn w:val="Normal"/>
    <w:qFormat/>
    <w:pPr/>
    <w:rPr/>
  </w:style>
  <w:style w:type="paragraph" w:styleId="Header">
    <w:name w:val="header"/>
    <w:basedOn w:val="Normal"/>
    <w:link w:val="Style12"/>
    <w:uiPriority w:val="99"/>
    <w:unhideWhenUsed/>
    <w:rsid w:val="00a131ec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link w:val="Style13"/>
    <w:uiPriority w:val="99"/>
    <w:unhideWhenUsed/>
    <w:rsid w:val="00a131ec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ConsPlusTitle" w:customStyle="1">
    <w:name w:val="ConsPlusTitle"/>
    <w:qFormat/>
    <w:rsid w:val="000a038d"/>
    <w:pPr>
      <w:widowControl w:val="false"/>
      <w:suppressAutoHyphens w:val="true"/>
      <w:bidi w:val="0"/>
      <w:spacing w:lineRule="auto" w:line="240" w:before="0" w:after="0"/>
      <w:jc w:val="left"/>
    </w:pPr>
    <w:rPr>
      <w:rFonts w:ascii="Calibri" w:hAnsi="Calibri" w:eastAsia="Times New Roman" w:cs="Calibri" w:asciiTheme="minorHAnsi" w:hAnsiTheme="minorHAnsi"/>
      <w:b/>
      <w:color w:val="auto"/>
      <w:kern w:val="0"/>
      <w:sz w:val="22"/>
      <w:szCs w:val="20"/>
      <w:lang w:val="ru-RU" w:eastAsia="ru-RU" w:bidi="ar-SA"/>
    </w:rPr>
  </w:style>
  <w:style w:type="paragraph" w:styleId="ConsPlusNormal1" w:customStyle="1">
    <w:name w:val="ConsPlusNormal"/>
    <w:link w:val="ConsPlusNormal"/>
    <w:qFormat/>
    <w:rsid w:val="000a038d"/>
    <w:pPr>
      <w:widowControl w:val="false"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ru-RU" w:eastAsia="ru-RU" w:bidi="ar-SA"/>
    </w:rPr>
  </w:style>
  <w:style w:type="paragraph" w:styleId="Default" w:customStyle="1">
    <w:name w:val="Default"/>
    <w:qFormat/>
    <w:rsid w:val="000a038d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Calibri" w:cs="Times New Roman"/>
      <w:color w:val="000000"/>
      <w:kern w:val="0"/>
      <w:sz w:val="24"/>
      <w:szCs w:val="24"/>
      <w:lang w:val="ru-RU" w:eastAsia="en-US" w:bidi="ar-SA"/>
    </w:rPr>
  </w:style>
  <w:style w:type="paragraph" w:styleId="ListParagraph">
    <w:name w:val="List Paragraph"/>
    <w:basedOn w:val="Normal"/>
    <w:uiPriority w:val="34"/>
    <w:qFormat/>
    <w:rsid w:val="000a038d"/>
    <w:pPr>
      <w:spacing w:before="0" w:after="0"/>
      <w:ind w:left="720"/>
      <w:contextualSpacing/>
    </w:pPr>
    <w:rPr/>
  </w:style>
  <w:style w:type="paragraph" w:styleId="11" w:customStyle="1">
    <w:name w:val="Основной текст1"/>
    <w:basedOn w:val="Normal"/>
    <w:qFormat/>
    <w:rsid w:val="000a038d"/>
    <w:pPr>
      <w:widowControl w:val="false"/>
      <w:shd w:val="clear" w:color="auto" w:fill="FFFFFF"/>
      <w:spacing w:lineRule="atLeast" w:line="0" w:before="0" w:after="300"/>
      <w:jc w:val="right"/>
    </w:pPr>
    <w:rPr>
      <w:b/>
      <w:bCs/>
      <w:color w:val="000000"/>
      <w:spacing w:val="2"/>
      <w:sz w:val="22"/>
      <w:szCs w:val="22"/>
    </w:rPr>
  </w:style>
  <w:style w:type="paragraph" w:styleId="EndnoteText">
    <w:name w:val="endnote text"/>
    <w:basedOn w:val="Normal"/>
    <w:link w:val="Style14"/>
    <w:rsid w:val="00f877ef"/>
    <w:pPr/>
    <w:rPr/>
  </w:style>
  <w:style w:type="paragraph" w:styleId="FootnoteText">
    <w:name w:val="footnote text"/>
    <w:basedOn w:val="Normal"/>
    <w:link w:val="Style15"/>
    <w:uiPriority w:val="99"/>
    <w:semiHidden/>
    <w:unhideWhenUsed/>
    <w:rsid w:val="00f877ef"/>
    <w:pPr/>
    <w:rPr>
      <w:rFonts w:ascii="Calibri" w:hAnsi="Calibri" w:eastAsia="Calibri"/>
      <w:lang w:eastAsia="en-US"/>
    </w:rPr>
  </w:style>
  <w:style w:type="paragraph" w:styleId="BalloonText">
    <w:name w:val="Balloon Text"/>
    <w:basedOn w:val="Normal"/>
    <w:link w:val="Style16"/>
    <w:uiPriority w:val="99"/>
    <w:semiHidden/>
    <w:unhideWhenUsed/>
    <w:qFormat/>
    <w:rsid w:val="00f877ef"/>
    <w:pPr/>
    <w:rPr>
      <w:rFonts w:ascii="Tahoma" w:hAnsi="Tahoma" w:eastAsia="Calibri" w:cs="Tahoma"/>
      <w:sz w:val="16"/>
      <w:szCs w:val="16"/>
      <w:lang w:eastAsia="en-US"/>
    </w:rPr>
  </w:style>
  <w:style w:type="paragraph" w:styleId="ConsTitle" w:customStyle="1">
    <w:name w:val="ConsTitle"/>
    <w:qFormat/>
    <w:rsid w:val="00c72912"/>
    <w:pPr>
      <w:widowControl w:val="false"/>
      <w:suppressAutoHyphens w:val="true"/>
      <w:bidi w:val="0"/>
      <w:spacing w:lineRule="auto" w:line="240" w:before="0" w:after="0"/>
      <w:jc w:val="left"/>
    </w:pPr>
    <w:rPr>
      <w:rFonts w:ascii="Arial" w:hAnsi="Arial" w:eastAsia="Times New Roman" w:cs="Arial"/>
      <w:b/>
      <w:bCs/>
      <w:color w:val="auto"/>
      <w:kern w:val="0"/>
      <w:sz w:val="16"/>
      <w:szCs w:val="16"/>
      <w:lang w:val="ru-RU" w:eastAsia="ru-RU" w:bidi="ar-SA"/>
    </w:rPr>
  </w:style>
  <w:style w:type="paragraph" w:styleId="21" w:customStyle="1">
    <w:name w:val="Основной текст2"/>
    <w:basedOn w:val="Normal"/>
    <w:link w:val="Style17"/>
    <w:qFormat/>
    <w:rsid w:val="00c72912"/>
    <w:pPr>
      <w:widowControl w:val="false"/>
      <w:shd w:val="clear" w:color="auto" w:fill="FFFFFF"/>
      <w:spacing w:lineRule="exact" w:line="302" w:before="540" w:after="0"/>
      <w:jc w:val="both"/>
    </w:pPr>
    <w:rPr>
      <w:rFonts w:cs="" w:cstheme="minorBidi"/>
      <w:sz w:val="26"/>
      <w:szCs w:val="26"/>
      <w:lang w:eastAsia="en-US"/>
    </w:rPr>
  </w:style>
  <w:style w:type="paragraph" w:styleId="NoSpacing">
    <w:name w:val="No Spacing"/>
    <w:link w:val="Style18"/>
    <w:uiPriority w:val="1"/>
    <w:qFormat/>
    <w:rsid w:val="004d6456"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Calibri" w:cs="Times New Roman" w:asciiTheme="minorHAns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NormalWeb">
    <w:name w:val="Normal (Web)"/>
    <w:basedOn w:val="Normal"/>
    <w:uiPriority w:val="99"/>
    <w:unhideWhenUsed/>
    <w:qFormat/>
    <w:rsid w:val="008c22da"/>
    <w:pPr>
      <w:spacing w:beforeAutospacing="1" w:afterAutospacing="1"/>
    </w:pPr>
    <w:rPr>
      <w:sz w:val="24"/>
      <w:szCs w:val="24"/>
    </w:rPr>
  </w:style>
  <w:style w:type="paragraph" w:styleId="Title">
    <w:name w:val="Title"/>
    <w:basedOn w:val="Normal"/>
    <w:link w:val="Style19"/>
    <w:qFormat/>
    <w:rsid w:val="001346bc"/>
    <w:pPr>
      <w:jc w:val="center"/>
    </w:pPr>
    <w:rPr>
      <w:b/>
      <w:bCs/>
      <w:sz w:val="28"/>
      <w:szCs w:val="24"/>
    </w:rPr>
  </w:style>
  <w:style w:type="paragraph" w:styleId="ConsPlusDocList" w:customStyle="1">
    <w:name w:val="ConsPlusDocList"/>
    <w:uiPriority w:val="99"/>
    <w:qFormat/>
    <w:rsid w:val="00420f86"/>
    <w:pPr>
      <w:widowControl w:val="false"/>
      <w:suppressAutoHyphens w:val="true"/>
      <w:bidi w:val="0"/>
      <w:spacing w:lineRule="auto" w:line="240" w:before="0" w:after="0"/>
      <w:jc w:val="left"/>
    </w:pPr>
    <w:rPr>
      <w:rFonts w:ascii="Calibri" w:hAnsi="Calibri" w:eastAsia="Times New Roman" w:cs="Calibri" w:asciiTheme="minorHAnsi" w:hAnsiTheme="minorHAnsi"/>
      <w:color w:val="auto"/>
      <w:kern w:val="0"/>
      <w:sz w:val="22"/>
      <w:szCs w:val="20"/>
      <w:lang w:val="ru-RU" w:eastAsia="ru-RU" w:bidi="ar-SA"/>
    </w:rPr>
  </w:style>
  <w:style w:type="paragraph" w:styleId="BodyTextIndent3">
    <w:name w:val="Body Text Indent 3"/>
    <w:basedOn w:val="Normal"/>
    <w:link w:val="3"/>
    <w:qFormat/>
    <w:rsid w:val="00245e72"/>
    <w:pPr>
      <w:ind w:firstLine="708"/>
      <w:jc w:val="both"/>
    </w:pPr>
    <w:rPr>
      <w:sz w:val="28"/>
      <w:szCs w:val="24"/>
    </w:rPr>
  </w:style>
  <w:style w:type="paragraph" w:styleId="BodyText2">
    <w:name w:val="Body Text 2"/>
    <w:basedOn w:val="Normal"/>
    <w:qFormat/>
    <w:pPr>
      <w:spacing w:lineRule="auto" w:line="480" w:before="0" w:after="120"/>
    </w:pPr>
    <w:rPr/>
  </w:style>
  <w:style w:type="paragraph" w:styleId="user3">
    <w:name w:val="Содержимое таблицы (user)"/>
    <w:basedOn w:val="Normal"/>
    <w:qFormat/>
    <w:pPr/>
    <w:rPr/>
  </w:style>
  <w:style w:type="numbering" w:styleId="user4" w:default="1">
    <w:name w:val="Без списка (user)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032ad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consultantplus://offline/ref=C4FED7DEB0D54F3B5945A53C66E4565027F35FB85C0FDE76AF1B2BF9D10746E54C1785C9003976F66FB9C4B73A2B1889A1F9B841D125R6KDH" TargetMode="External"/><Relationship Id="rId3" Type="http://schemas.openxmlformats.org/officeDocument/2006/relationships/hyperlink" Target="consultantplus://offline/ref=C4FED7DEB0D54F3B5945A53C66E4565027F35FB85C0FDE76AF1B2BF9D10746E54C1785C9043973F66FB9C4B73A2B1889A1F9B841D125R6KDH" TargetMode="External"/><Relationship Id="rId4" Type="http://schemas.openxmlformats.org/officeDocument/2006/relationships/hyperlink" Target="consultantplus://offline/ref=C4FED7DEB0D54F3B5945A53C66E4565027F05BB9530CDE76AF1B2BF9D10746E55E17DDC001376CFD3AF682E235R2KAH" TargetMode="External"/><Relationship Id="rId5" Type="http://schemas.openxmlformats.org/officeDocument/2006/relationships/hyperlink" Target="consultantplus://offline/ref=C4FED7DEB0D54F3B5945A53C66E4565027F05BB9520FDE76AF1B2BF9D10746E55E17DDC001376CFD3AF682E235R2KAH" TargetMode="External"/><Relationship Id="rId6" Type="http://schemas.openxmlformats.org/officeDocument/2006/relationships/hyperlink" Target="consultantplus://offline/ref=C4FED7DEB0D54F3B5945A53C66E4565027F35FB85C0FDE76AF1B2BF9D10746E54C1785C9003976F66FB9C4B73A2B1889A1F9B841D125R6KDH" TargetMode="External"/><Relationship Id="rId7" Type="http://schemas.openxmlformats.org/officeDocument/2006/relationships/hyperlink" Target="consultantplus://offline/ref=C4FED7DEB0D54F3B5945A53C66E4565027F35FB85C0FDE76AF1B2BF9D10746E54C1785C9043973F66FB9C4B73A2B1889A1F9B841D125R6KDH" TargetMode="External"/><Relationship Id="rId8" Type="http://schemas.openxmlformats.org/officeDocument/2006/relationships/hyperlink" Target="consultantplus://offline/ref=C4FED7DEB0D54F3B5945A53C66E4565027F05BB9530CDE76AF1B2BF9D10746E55E17DDC001376CFD3AF682E235R2KAH" TargetMode="External"/><Relationship Id="rId9" Type="http://schemas.openxmlformats.org/officeDocument/2006/relationships/hyperlink" Target="consultantplus://offline/ref=C4FED7DEB0D54F3B5945A53C66E4565027F05BB9520FDE76AF1B2BF9D10746E55E17DDC001376CFD3AF682E235R2KAH" TargetMode="External"/><Relationship Id="rId10" Type="http://schemas.openxmlformats.org/officeDocument/2006/relationships/hyperlink" Target="consultantplus://offline/ref=C4FED7DEB0D54F3B5945A53C66E4565027F05BB9530CDE76AF1B2BF9D10746E54C1785CC033073F83AE3D4B3737C1295A6E6A642CF256E92R6KAH" TargetMode="External"/><Relationship Id="rId11" Type="http://schemas.openxmlformats.org/officeDocument/2006/relationships/hyperlink" Target="consultantplus://offline/ref=C4FED7DEB0D54F3B5945A53C66E4565027F05BB9520FDE76AF1B2BF9D10746E54C1785CC033073F833E3D4B3737C1295A6E6A642CF256E92R6KAH" TargetMode="External"/><Relationship Id="rId12" Type="http://schemas.openxmlformats.org/officeDocument/2006/relationships/header" Target="header1.xml"/><Relationship Id="rId13" Type="http://schemas.openxmlformats.org/officeDocument/2006/relationships/header" Target="header2.xml"/><Relationship Id="rId14" Type="http://schemas.openxmlformats.org/officeDocument/2006/relationships/header" Target="header3.xml"/><Relationship Id="rId15" Type="http://schemas.openxmlformats.org/officeDocument/2006/relationships/fontTable" Target="fontTable.xml"/><Relationship Id="rId16" Type="http://schemas.openxmlformats.org/officeDocument/2006/relationships/settings" Target="settings.xml"/><Relationship Id="rId17" Type="http://schemas.openxmlformats.org/officeDocument/2006/relationships/theme" Target="theme/theme1.xml"/><Relationship Id="rId18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EFC6B5-E442-4A5E-A192-1F711CD07F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2059</TotalTime>
  <Application>LibreOffice/25.2.6.2$Linux_X86_64 LibreOffice_project/520$Build-2</Application>
  <AppVersion>15.0000</AppVersion>
  <Pages>4</Pages>
  <Words>511</Words>
  <Characters>3869</Characters>
  <CharactersWithSpaces>5258</CharactersWithSpaces>
  <Paragraphs>25</Paragraphs>
  <Company>diakov.net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2022-02-15T19:13:00Z</dcterms:created>
  <dc:creator>Гончарова Елена Викторовна</dc:creator>
  <dc:description/>
  <dc:language>ru-RU</dc:language>
  <cp:lastModifiedBy/>
  <cp:lastPrinted>2026-03-27T11:30:28Z</cp:lastPrinted>
  <dcterms:modified xsi:type="dcterms:W3CDTF">2026-04-08T13:46:11Z</dcterms:modified>
  <cp:revision>204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